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725" w:type="dxa"/>
        <w:tblInd w:w="-527" w:type="dxa"/>
        <w:tblLayout w:type="fixed"/>
        <w:tblCellMar>
          <w:top w:w="130" w:type="dxa"/>
          <w:left w:w="17" w:type="dxa"/>
          <w:bottom w:w="130" w:type="dxa"/>
          <w:right w:w="17" w:type="dxa"/>
        </w:tblCellMar>
      </w:tblPr>
      <w:tblGrid>
        <w:gridCol w:w="642"/>
        <w:gridCol w:w="984"/>
        <w:gridCol w:w="1500"/>
        <w:gridCol w:w="4241"/>
        <w:gridCol w:w="4209"/>
        <w:gridCol w:w="1299"/>
        <w:gridCol w:w="801"/>
        <w:gridCol w:w="1200"/>
        <w:gridCol w:w="849"/>
      </w:tblGrid>
      <w:tr>
        <w:tblPrEx>
          <w:tblCellMar>
            <w:top w:w="130" w:type="dxa"/>
            <w:left w:w="17" w:type="dxa"/>
            <w:bottom w:w="130" w:type="dxa"/>
            <w:right w:w="17" w:type="dxa"/>
          </w:tblCellMar>
        </w:tblPrEx>
        <w:trPr>
          <w:trHeight w:val="632" w:hRule="atLeast"/>
        </w:trPr>
        <w:tc>
          <w:tcPr>
            <w:tcW w:w="15725" w:type="dxa"/>
            <w:gridSpan w:val="9"/>
            <w:tcBorders>
              <w:top w:val="single" w:color="000000" w:sz="4" w:space="0"/>
              <w:left w:val="single" w:color="000000" w:sz="4" w:space="0"/>
              <w:right w:val="single" w:color="000000" w:sz="4" w:space="0"/>
            </w:tcBorders>
            <w:vAlign w:val="center"/>
          </w:tcPr>
          <w:p>
            <w:pPr>
              <w:widowControl/>
              <w:jc w:val="center"/>
              <w:textAlignment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eastAsia="zh-CN"/>
              </w:rPr>
              <w:t>绥阳县医疗保障</w:t>
            </w:r>
            <w:bookmarkStart w:id="0" w:name="_GoBack"/>
            <w:bookmarkEnd w:id="0"/>
            <w:r>
              <w:rPr>
                <w:rFonts w:hint="eastAsia" w:ascii="方正小标宋简体" w:hAnsi="方正小标宋简体" w:eastAsia="方正小标宋简体" w:cs="方正小标宋简体"/>
                <w:b w:val="0"/>
                <w:bCs/>
                <w:kern w:val="0"/>
                <w:sz w:val="36"/>
                <w:szCs w:val="36"/>
                <w:lang w:eastAsia="zh-CN"/>
              </w:rPr>
              <w:t>局权力清单和责任清单（</w:t>
            </w:r>
            <w:r>
              <w:rPr>
                <w:rFonts w:hint="eastAsia" w:ascii="方正小标宋简体" w:hAnsi="方正小标宋简体" w:eastAsia="方正小标宋简体" w:cs="方正小标宋简体"/>
                <w:b w:val="0"/>
                <w:bCs/>
                <w:kern w:val="0"/>
                <w:sz w:val="36"/>
                <w:szCs w:val="36"/>
                <w:lang w:val="en-US" w:eastAsia="zh-CN"/>
              </w:rPr>
              <w:t>2024年版</w:t>
            </w:r>
            <w:r>
              <w:rPr>
                <w:rFonts w:hint="eastAsia" w:ascii="方正小标宋简体" w:hAnsi="方正小标宋简体" w:eastAsia="方正小标宋简体" w:cs="方正小标宋简体"/>
                <w:b w:val="0"/>
                <w:bCs/>
                <w:kern w:val="0"/>
                <w:sz w:val="36"/>
                <w:szCs w:val="36"/>
                <w:lang w:eastAsia="zh-CN"/>
              </w:rPr>
              <w:t>）</w:t>
            </w:r>
          </w:p>
        </w:tc>
      </w:tr>
      <w:tr>
        <w:tblPrEx>
          <w:tblCellMar>
            <w:top w:w="130" w:type="dxa"/>
            <w:left w:w="17" w:type="dxa"/>
            <w:bottom w:w="130" w:type="dxa"/>
            <w:right w:w="17" w:type="dxa"/>
          </w:tblCellMar>
        </w:tblPrEx>
        <w:trPr>
          <w:trHeight w:val="632" w:hRule="atLeast"/>
        </w:trPr>
        <w:tc>
          <w:tcPr>
            <w:tcW w:w="642"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黑体" w:eastAsia="黑体" w:cs="黑体"/>
                <w:b/>
                <w:sz w:val="24"/>
              </w:rPr>
            </w:pPr>
            <w:r>
              <w:rPr>
                <w:rFonts w:hint="eastAsia" w:ascii="黑体" w:hAnsi="黑体" w:eastAsia="黑体" w:cs="黑体"/>
                <w:b/>
                <w:kern w:val="0"/>
                <w:sz w:val="24"/>
              </w:rPr>
              <w:t>序号</w:t>
            </w:r>
          </w:p>
        </w:tc>
        <w:tc>
          <w:tcPr>
            <w:tcW w:w="984"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黑体" w:eastAsia="黑体" w:cs="黑体"/>
                <w:b/>
                <w:sz w:val="24"/>
              </w:rPr>
            </w:pPr>
            <w:r>
              <w:rPr>
                <w:rFonts w:hint="eastAsia" w:ascii="黑体" w:hAnsi="黑体" w:eastAsia="黑体" w:cs="黑体"/>
                <w:b/>
                <w:kern w:val="0"/>
                <w:sz w:val="24"/>
              </w:rPr>
              <w:t>权力类别</w:t>
            </w:r>
          </w:p>
        </w:tc>
        <w:tc>
          <w:tcPr>
            <w:tcW w:w="1500"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黑体" w:eastAsia="黑体" w:cs="黑体"/>
                <w:b/>
                <w:sz w:val="24"/>
              </w:rPr>
            </w:pPr>
            <w:r>
              <w:rPr>
                <w:rFonts w:hint="eastAsia" w:ascii="黑体" w:hAnsi="黑体" w:eastAsia="黑体" w:cs="黑体"/>
                <w:b/>
                <w:kern w:val="0"/>
                <w:sz w:val="24"/>
              </w:rPr>
              <w:t>权力名称</w:t>
            </w:r>
          </w:p>
        </w:tc>
        <w:tc>
          <w:tcPr>
            <w:tcW w:w="4241"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黑体" w:eastAsia="黑体" w:cs="黑体"/>
                <w:b/>
                <w:sz w:val="24"/>
              </w:rPr>
            </w:pPr>
            <w:r>
              <w:rPr>
                <w:rFonts w:hint="eastAsia" w:ascii="黑体" w:hAnsi="黑体" w:eastAsia="黑体" w:cs="黑体"/>
                <w:b/>
                <w:kern w:val="0"/>
                <w:sz w:val="24"/>
              </w:rPr>
              <w:t>权力依据</w:t>
            </w:r>
          </w:p>
        </w:tc>
        <w:tc>
          <w:tcPr>
            <w:tcW w:w="4209"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黑体" w:eastAsia="黑体" w:cs="黑体"/>
                <w:b/>
                <w:sz w:val="24"/>
              </w:rPr>
            </w:pPr>
            <w:r>
              <w:rPr>
                <w:rFonts w:hint="eastAsia" w:ascii="黑体" w:hAnsi="黑体" w:eastAsia="黑体" w:cs="黑体"/>
                <w:b/>
                <w:kern w:val="0"/>
                <w:sz w:val="24"/>
              </w:rPr>
              <w:t>责任事项</w:t>
            </w:r>
          </w:p>
        </w:tc>
        <w:tc>
          <w:tcPr>
            <w:tcW w:w="1299"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黑体" w:eastAsia="黑体" w:cs="黑体"/>
                <w:b/>
                <w:sz w:val="24"/>
              </w:rPr>
            </w:pPr>
            <w:r>
              <w:rPr>
                <w:rFonts w:hint="eastAsia" w:ascii="黑体" w:hAnsi="黑体" w:eastAsia="黑体" w:cs="黑体"/>
                <w:b/>
                <w:kern w:val="0"/>
                <w:sz w:val="24"/>
              </w:rPr>
              <w:t>责任事项依据</w:t>
            </w:r>
          </w:p>
        </w:tc>
        <w:tc>
          <w:tcPr>
            <w:tcW w:w="801"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黑体" w:hAnsi="黑体" w:eastAsia="黑体" w:cs="黑体"/>
                <w:b/>
                <w:sz w:val="24"/>
                <w:lang w:val="en-US" w:eastAsia="zh-CN"/>
              </w:rPr>
            </w:pPr>
            <w:r>
              <w:rPr>
                <w:rFonts w:hint="eastAsia" w:ascii="黑体" w:hAnsi="黑体" w:eastAsia="黑体" w:cs="黑体"/>
                <w:b/>
                <w:kern w:val="0"/>
                <w:sz w:val="24"/>
                <w:lang w:val="en-US" w:eastAsia="zh-CN"/>
              </w:rPr>
              <w:t>责任处室</w:t>
            </w:r>
          </w:p>
        </w:tc>
        <w:tc>
          <w:tcPr>
            <w:tcW w:w="1200"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黑体" w:eastAsia="黑体" w:cs="黑体"/>
                <w:b/>
                <w:sz w:val="24"/>
              </w:rPr>
            </w:pPr>
            <w:r>
              <w:rPr>
                <w:rFonts w:hint="eastAsia" w:ascii="黑体" w:hAnsi="黑体" w:eastAsia="黑体" w:cs="黑体"/>
                <w:b/>
                <w:kern w:val="0"/>
                <w:sz w:val="24"/>
              </w:rPr>
              <w:t>追责范围</w:t>
            </w:r>
          </w:p>
        </w:tc>
        <w:tc>
          <w:tcPr>
            <w:tcW w:w="84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黑体" w:eastAsia="黑体" w:cs="黑体"/>
                <w:b/>
                <w:kern w:val="0"/>
                <w:sz w:val="24"/>
                <w:lang w:val="en-US" w:eastAsia="zh-CN"/>
              </w:rPr>
            </w:pPr>
            <w:r>
              <w:rPr>
                <w:rFonts w:hint="eastAsia" w:ascii="黑体" w:hAnsi="黑体" w:eastAsia="黑体" w:cs="黑体"/>
                <w:b/>
                <w:kern w:val="0"/>
                <w:sz w:val="24"/>
                <w:lang w:val="en-US" w:eastAsia="zh-CN"/>
              </w:rPr>
              <w:t>备注</w:t>
            </w:r>
          </w:p>
        </w:tc>
      </w:tr>
      <w:tr>
        <w:tblPrEx>
          <w:tblCellMar>
            <w:top w:w="130" w:type="dxa"/>
            <w:left w:w="17" w:type="dxa"/>
            <w:bottom w:w="130" w:type="dxa"/>
            <w:right w:w="17" w:type="dxa"/>
          </w:tblCellMar>
        </w:tblPrEx>
        <w:trPr>
          <w:trHeight w:val="4043"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ind w:left="425" w:leftChars="0" w:hanging="425" w:firstLineChars="0"/>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行政确认</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参保单位参加社会保险登记及缴费基数核定</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《社会保险法》第五十七条 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工商行政管理部门、民政部门和机构编制管理机关应当及时向社会保险经办机构通报用人单位的成立、终止情况，公安机关应当及时向社会保险经办机构通报个人的出生、死亡以及户口登记、迁移、注销等情况。</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受理责任：公示法定应当提交的材料；一次性告知补正材料；依法受理或不予受理（不予受理应当告知理由）。</w:t>
            </w:r>
          </w:p>
          <w:p>
            <w:pPr>
              <w:widowControl/>
              <w:numPr>
                <w:ilvl w:val="0"/>
                <w:numId w:val="2"/>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审查责任：对相对人提交的材料进行审查，提出审查意见。</w:t>
            </w:r>
          </w:p>
          <w:p>
            <w:pPr>
              <w:widowControl/>
              <w:numPr>
                <w:ilvl w:val="0"/>
                <w:numId w:val="2"/>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决定责任：在规定期限内作出书面决定（不予确认的应说明理由）。</w:t>
            </w:r>
          </w:p>
          <w:p>
            <w:pPr>
              <w:widowControl/>
              <w:numPr>
                <w:ilvl w:val="0"/>
                <w:numId w:val="2"/>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事后监管责任：建立实施监督检查的运行机制和管理制度，加强监管。</w:t>
            </w:r>
          </w:p>
          <w:p>
            <w:pPr>
              <w:widowControl/>
              <w:numPr>
                <w:ilvl w:val="0"/>
                <w:numId w:val="0"/>
              </w:numPr>
              <w:spacing w:line="240" w:lineRule="exact"/>
              <w:ind w:leftChars="0"/>
              <w:jc w:val="left"/>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5.法律法规规章文件规定应履行的其他责任。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《社会保险法》(2011年7月1日施行)第五十七条《社会保险费申报缴纳管理规定》（中华人民共和国人力资源和社会保障部令第20号  2013年11月1日施行）第七条</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仿宋_GB2312" w:hAnsi="仿宋_GB2312" w:eastAsia="仿宋_GB2312" w:cs="仿宋_GB2312"/>
              </w:rPr>
            </w:pPr>
            <w:r>
              <w:rPr>
                <w:rFonts w:ascii="微软雅黑" w:hAnsi="微软雅黑" w:eastAsia="微软雅黑" w:cs="微软雅黑"/>
                <w:i w:val="0"/>
                <w:iCs w:val="0"/>
                <w:caps w:val="0"/>
                <w:color w:val="333333"/>
                <w:spacing w:val="0"/>
                <w:sz w:val="21"/>
                <w:szCs w:val="21"/>
                <w:shd w:val="clear" w:fill="FFFFFF"/>
              </w:rPr>
              <w:t>医保服务中心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仿宋_GB2312" w:hAnsi="仿宋_GB2312" w:eastAsia="仿宋_GB2312" w:cs="仿宋_GB2312"/>
              </w:rPr>
            </w:pPr>
            <w:r>
              <w:rPr>
                <w:rFonts w:ascii="微软雅黑" w:hAnsi="微软雅黑" w:eastAsia="微软雅黑" w:cs="微软雅黑"/>
                <w:i w:val="0"/>
                <w:iCs w:val="0"/>
                <w:caps w:val="0"/>
                <w:color w:val="333333"/>
                <w:spacing w:val="0"/>
                <w:sz w:val="21"/>
                <w:szCs w:val="21"/>
                <w:shd w:val="clear" w:fill="FFFFFF"/>
              </w:rPr>
              <w:t>单位法定代表人、分管领导、科室负责人、具体承办人 </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仿宋_GB2312" w:hAnsi="仿宋_GB2312" w:eastAsia="仿宋_GB2312" w:cs="仿宋_GB2312"/>
              </w:rPr>
            </w:pPr>
          </w:p>
        </w:tc>
      </w:tr>
      <w:tr>
        <w:tblPrEx>
          <w:tblCellMar>
            <w:top w:w="130" w:type="dxa"/>
            <w:left w:w="17" w:type="dxa"/>
            <w:bottom w:w="130" w:type="dxa"/>
            <w:right w:w="17" w:type="dxa"/>
          </w:tblCellMar>
        </w:tblPrEx>
        <w:trPr>
          <w:trHeight w:val="319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ind w:left="425" w:leftChars="0" w:hanging="425" w:firstLineChars="0"/>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行政给付</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医疗保险待遇支付</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《社会保险法》第八条  社会保险经办机构提供社会保险服务，负责社会保险登记、个人权益记录、社会保险待遇支付等工作。第二十六条  职工基本医疗保险、新型农村合作医疗和城镇居民基本医疗保险的待遇标准按照国家规定执行。第二十九条  参保人员医疗费用中应当由基本医疗保险基金支付的部分，由社会保险经办机构与医疗机构、药品经营单位直接结算</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受理责任：公示应当提交的材料；一次性告知补正材料，依法受理或不予受理申请（不予受理的说明理由）。</w:t>
            </w:r>
          </w:p>
          <w:p>
            <w:pPr>
              <w:widowControl/>
              <w:numPr>
                <w:ilvl w:val="0"/>
                <w:numId w:val="3"/>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审查责任：对申请人提交的申请材料进行审查，提出审查意见。</w:t>
            </w:r>
          </w:p>
          <w:p>
            <w:pPr>
              <w:widowControl/>
              <w:numPr>
                <w:ilvl w:val="0"/>
                <w:numId w:val="0"/>
              </w:numPr>
              <w:spacing w:line="240" w:lineRule="exact"/>
              <w:ind w:leftChars="0"/>
              <w:jc w:val="left"/>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3.决定责任：作出给付的行政决定，依法送达。4.法律法规规章文件规定应履行的其他责任。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bCs/>
                <w:kern w:val="0"/>
                <w:sz w:val="20"/>
                <w:szCs w:val="20"/>
              </w:rPr>
            </w:pPr>
            <w:r>
              <w:rPr>
                <w:rFonts w:ascii="微软雅黑" w:hAnsi="微软雅黑" w:eastAsia="微软雅黑" w:cs="微软雅黑"/>
                <w:i w:val="0"/>
                <w:iCs w:val="0"/>
                <w:caps w:val="0"/>
                <w:color w:val="333333"/>
                <w:spacing w:val="0"/>
                <w:sz w:val="21"/>
                <w:szCs w:val="21"/>
                <w:shd w:val="clear" w:fill="FFFFFF"/>
              </w:rPr>
              <w:t>《社会保险法》第八条、第二十六条、第二十九条</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仿宋_GB2312" w:hAnsi="仿宋_GB2312" w:eastAsia="仿宋_GB2312" w:cs="仿宋_GB2312"/>
              </w:rPr>
            </w:pPr>
            <w:r>
              <w:rPr>
                <w:rFonts w:ascii="微软雅黑" w:hAnsi="微软雅黑" w:eastAsia="微软雅黑" w:cs="微软雅黑"/>
                <w:i w:val="0"/>
                <w:iCs w:val="0"/>
                <w:caps w:val="0"/>
                <w:color w:val="333333"/>
                <w:spacing w:val="0"/>
                <w:sz w:val="21"/>
                <w:szCs w:val="21"/>
                <w:shd w:val="clear" w:fill="FFFFFF"/>
              </w:rPr>
              <w:t>医保服务中心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仿宋_GB2312" w:hAnsi="仿宋_GB2312" w:eastAsia="仿宋_GB2312" w:cs="仿宋_GB2312"/>
              </w:rPr>
            </w:pPr>
            <w:r>
              <w:rPr>
                <w:rFonts w:ascii="微软雅黑" w:hAnsi="微软雅黑" w:eastAsia="微软雅黑" w:cs="微软雅黑"/>
                <w:i w:val="0"/>
                <w:iCs w:val="0"/>
                <w:caps w:val="0"/>
                <w:color w:val="333333"/>
                <w:spacing w:val="0"/>
                <w:sz w:val="21"/>
                <w:szCs w:val="21"/>
                <w:shd w:val="clear" w:fill="FFFFFF"/>
              </w:rPr>
              <w:t>单位法定代表人、分管领导、科室负责人、具体承办人 </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仿宋_GB2312" w:hAnsi="仿宋_GB2312" w:eastAsia="仿宋_GB2312" w:cs="仿宋_GB2312"/>
              </w:rPr>
            </w:pPr>
          </w:p>
        </w:tc>
      </w:tr>
      <w:tr>
        <w:tblPrEx>
          <w:tblCellMar>
            <w:top w:w="130" w:type="dxa"/>
            <w:left w:w="17" w:type="dxa"/>
            <w:bottom w:w="130" w:type="dxa"/>
            <w:right w:w="17" w:type="dxa"/>
          </w:tblCellMar>
        </w:tblPrEx>
        <w:trPr>
          <w:trHeight w:val="4873"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行政检查</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对医疗保险定点医疗机构和定点零售药店服务监督检查</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《城镇职工基本医疗保险定点医疗机构管理暂行办法》第十七条  劳动保障行政部门要组织卫生、物价等有关部门加强对定点医疗机构服务和管理情况的监督检查。《城镇职工基本医疗保险定点零售药店管理暂行办法》第十三条  劳动保障行政部门要组织药品监督管理、物价、医药行业主管部门等有关部门,加强对定点零售药店处方外配服务和管理的监督检查。要对定点零售药店的资格进行年度审核。</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检查责任：定期根据法律法规对相关工作开展检查。</w:t>
            </w:r>
          </w:p>
          <w:p>
            <w:pPr>
              <w:widowControl/>
              <w:numPr>
                <w:ilvl w:val="0"/>
                <w:numId w:val="4"/>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处置责任：根据有关规定作出相应处置措施。3.事后管理责任：对检查情况进行汇总、分类、归档备查，并跟踪监测。</w:t>
            </w:r>
          </w:p>
          <w:p>
            <w:pPr>
              <w:widowControl/>
              <w:numPr>
                <w:ilvl w:val="0"/>
                <w:numId w:val="0"/>
              </w:numPr>
              <w:spacing w:line="240" w:lineRule="exact"/>
              <w:ind w:leftChars="0"/>
              <w:jc w:val="lef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4.其他法律法规规章文件规定应履行的责任。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《城镇职工基本医疗保险定点医疗机构管理暂行办法》（劳社部发〔1999〕14号 1999年5月11日发布施行）第十七条，《城镇职工基本医疗保险定点零售药店管理暂行办法》（劳社部发〔1999〕16号 1999年4月26日发布施行）第十三条</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监管股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仿宋_GB2312" w:cs="宋体"/>
                <w:sz w:val="20"/>
                <w:szCs w:val="20"/>
                <w:lang w:val="en-US" w:eastAsia="zh-CN"/>
              </w:rPr>
            </w:pPr>
            <w:r>
              <w:rPr>
                <w:rFonts w:ascii="微软雅黑" w:hAnsi="微软雅黑" w:eastAsia="微软雅黑" w:cs="微软雅黑"/>
                <w:i w:val="0"/>
                <w:iCs w:val="0"/>
                <w:caps w:val="0"/>
                <w:color w:val="333333"/>
                <w:spacing w:val="0"/>
                <w:sz w:val="21"/>
                <w:szCs w:val="21"/>
                <w:shd w:val="clear" w:fill="FFFFFF"/>
              </w:rPr>
              <w:t>单位法定代表人、分管领导、科室负责人、具体承办人 </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仿宋_GB2312" w:cs="宋体"/>
                <w:sz w:val="20"/>
                <w:szCs w:val="20"/>
                <w:lang w:val="en-US" w:eastAsia="zh-CN"/>
              </w:rPr>
            </w:pPr>
          </w:p>
        </w:tc>
      </w:tr>
      <w:tr>
        <w:tblPrEx>
          <w:tblCellMar>
            <w:top w:w="130" w:type="dxa"/>
            <w:left w:w="17" w:type="dxa"/>
            <w:bottom w:w="130" w:type="dxa"/>
            <w:right w:w="17" w:type="dxa"/>
          </w:tblCellMar>
        </w:tblPrEx>
        <w:trPr>
          <w:trHeight w:val="3483"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行政奖励</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对社会保险基金违法违规行为提供主要事实和证据的举报人奖励</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《欺诈骗取医疗保障基金行为举报奖励暂行办法》第二条  公民、法人和其他社会组织有权对医疗保障经办机构工作人员，以及参保人员等涉嫌欺诈骗取医疗保障基金行为进行举报，提供相关线索，经查证属实，应予奖励的，适用本办法。第三条  统筹地区医疗保障部门负责涉及本统筹地区医疗保障基金欺诈骗取行为的举报奖励工作。</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受理责任：对申报的材料进行受理。</w:t>
            </w:r>
          </w:p>
          <w:p>
            <w:pPr>
              <w:widowControl/>
              <w:numPr>
                <w:ilvl w:val="0"/>
                <w:numId w:val="5"/>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审查责任：对奖励对象的材料进行审核。</w:t>
            </w:r>
          </w:p>
          <w:p>
            <w:pPr>
              <w:widowControl/>
              <w:numPr>
                <w:ilvl w:val="0"/>
                <w:numId w:val="5"/>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决定责任：按照程序报请研究审定，依法进行奖励</w:t>
            </w:r>
          </w:p>
          <w:p>
            <w:pPr>
              <w:widowControl/>
              <w:numPr>
                <w:ilvl w:val="0"/>
                <w:numId w:val="0"/>
              </w:numPr>
              <w:spacing w:line="240" w:lineRule="exact"/>
              <w:ind w:leftChars="0"/>
              <w:jc w:val="lef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4.法律法规规章文件规定应履行的其他责任。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《欺诈骗取医疗保障基金行为举报奖励暂行办法》（医保发〔2018〕22号 2018年11月29日 发布施行）第二条、第三条</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监管股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单位法定代表人、分管领导、科室负责人、具体承办人 </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sz w:val="20"/>
                <w:szCs w:val="20"/>
              </w:rPr>
            </w:pPr>
          </w:p>
        </w:tc>
      </w:tr>
      <w:tr>
        <w:tblPrEx>
          <w:tblCellMar>
            <w:top w:w="130" w:type="dxa"/>
            <w:left w:w="17" w:type="dxa"/>
            <w:bottom w:w="130" w:type="dxa"/>
            <w:right w:w="17" w:type="dxa"/>
          </w:tblCellMar>
        </w:tblPrEx>
        <w:trPr>
          <w:trHeight w:val="23"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kern w:val="0"/>
                <w:sz w:val="20"/>
                <w:szCs w:val="20"/>
              </w:rPr>
            </w:pPr>
            <w:r>
              <w:rPr>
                <w:rFonts w:ascii="微软雅黑" w:hAnsi="微软雅黑" w:eastAsia="微软雅黑" w:cs="微软雅黑"/>
                <w:i w:val="0"/>
                <w:iCs w:val="0"/>
                <w:caps w:val="0"/>
                <w:color w:val="333333"/>
                <w:spacing w:val="0"/>
                <w:sz w:val="21"/>
                <w:szCs w:val="21"/>
                <w:shd w:val="clear" w:fill="FFFFFF"/>
              </w:rPr>
              <w:t>行政检查</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szCs w:val="20"/>
              </w:rPr>
            </w:pPr>
            <w:r>
              <w:rPr>
                <w:rFonts w:ascii="微软雅黑" w:hAnsi="微软雅黑" w:eastAsia="微软雅黑" w:cs="微软雅黑"/>
                <w:i w:val="0"/>
                <w:iCs w:val="0"/>
                <w:caps w:val="0"/>
                <w:color w:val="333333"/>
                <w:spacing w:val="0"/>
                <w:sz w:val="21"/>
                <w:szCs w:val="21"/>
                <w:shd w:val="clear" w:fill="FFFFFF"/>
              </w:rPr>
              <w:t>对医疗服务价格监督检查</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szCs w:val="20"/>
              </w:rPr>
            </w:pPr>
            <w:r>
              <w:rPr>
                <w:rFonts w:ascii="微软雅黑" w:hAnsi="微软雅黑" w:eastAsia="微软雅黑" w:cs="微软雅黑"/>
                <w:i w:val="0"/>
                <w:iCs w:val="0"/>
                <w:caps w:val="0"/>
                <w:color w:val="333333"/>
                <w:spacing w:val="0"/>
                <w:sz w:val="21"/>
                <w:szCs w:val="21"/>
                <w:shd w:val="clear" w:fill="FFFFFF"/>
              </w:rPr>
              <w:t>《中华人民共和国价格法》第三十三条  县级以上各级人民政府价格主管部门，依法对价格活动进行监督检查，并依照本法的规定对价格违法行为实施行政处罚。第三十四条  政府价格主管部门进行价格监督检查时，可以行使下列职权:（一）询问当事人或者有关人员，并要求其提供证明材料和与价格违法行为有关的其他资料。（二）查询、复制与价格违法行为有关的帐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检查责任：定期根据法律法规对相关工作开展检查。</w:t>
            </w:r>
          </w:p>
          <w:p>
            <w:pPr>
              <w:widowControl/>
              <w:numPr>
                <w:ilvl w:val="0"/>
                <w:numId w:val="6"/>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处置责任：根据有关规定作出相应处置措施。</w:t>
            </w:r>
          </w:p>
          <w:p>
            <w:pPr>
              <w:widowControl/>
              <w:numPr>
                <w:ilvl w:val="0"/>
                <w:numId w:val="0"/>
              </w:numPr>
              <w:spacing w:line="240" w:lineRule="exact"/>
              <w:ind w:left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3.事后管理责任：对检查情况进行汇总、分类、归档备查，并跟踪监测。</w:t>
            </w:r>
          </w:p>
          <w:p>
            <w:pPr>
              <w:widowControl/>
              <w:numPr>
                <w:ilvl w:val="0"/>
                <w:numId w:val="0"/>
              </w:numPr>
              <w:spacing w:line="240" w:lineRule="exact"/>
              <w:ind w:leftChars="0"/>
              <w:jc w:val="left"/>
              <w:textAlignment w:val="center"/>
              <w:rPr>
                <w:rFonts w:hint="eastAsia" w:ascii="宋体" w:hAnsi="宋体" w:cs="宋体"/>
                <w:kern w:val="0"/>
                <w:sz w:val="20"/>
                <w:szCs w:val="20"/>
              </w:rPr>
            </w:pPr>
            <w:r>
              <w:rPr>
                <w:rFonts w:ascii="微软雅黑" w:hAnsi="微软雅黑" w:eastAsia="微软雅黑" w:cs="微软雅黑"/>
                <w:i w:val="0"/>
                <w:iCs w:val="0"/>
                <w:caps w:val="0"/>
                <w:color w:val="333333"/>
                <w:spacing w:val="0"/>
                <w:sz w:val="21"/>
                <w:szCs w:val="21"/>
                <w:shd w:val="clear" w:fill="FFFFFF"/>
              </w:rPr>
              <w:t>4.其他法律法规规章文件规定应履行的责任。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szCs w:val="20"/>
              </w:rPr>
            </w:pPr>
            <w:r>
              <w:rPr>
                <w:rFonts w:ascii="微软雅黑" w:hAnsi="微软雅黑" w:eastAsia="微软雅黑" w:cs="微软雅黑"/>
                <w:i w:val="0"/>
                <w:iCs w:val="0"/>
                <w:caps w:val="0"/>
                <w:color w:val="333333"/>
                <w:spacing w:val="0"/>
                <w:sz w:val="21"/>
                <w:szCs w:val="21"/>
                <w:shd w:val="clear" w:fill="FFFFFF"/>
              </w:rPr>
              <w:t>《中华人民共和国价格法》（中华人民共和国主席令第92号公布1998年5月1日施行）第十八条、第三十三条、第三十四条、第三十九条、第四十条</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监管股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单位法定代表人、分管领导、科室负责人、具体承办人 </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sz w:val="20"/>
                <w:szCs w:val="20"/>
              </w:rPr>
            </w:pPr>
          </w:p>
        </w:tc>
      </w:tr>
      <w:tr>
        <w:tblPrEx>
          <w:tblCellMar>
            <w:top w:w="130" w:type="dxa"/>
            <w:left w:w="17" w:type="dxa"/>
            <w:bottom w:w="130" w:type="dxa"/>
            <w:right w:w="17" w:type="dxa"/>
          </w:tblCellMar>
        </w:tblPrEx>
        <w:trPr>
          <w:trHeight w:val="23"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行政检查</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对医疗救助的监督检查</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《社会救助暂行办法》（中华人民共和国国务院令第649号）第五十七条  县级以上人民政府及其社会救助管理部门应当加强对社会救助工作的监督检查，完善相关监督管理制度。</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检查责任：定期根据法律法规对相关工作开展检查。</w:t>
            </w:r>
          </w:p>
          <w:p>
            <w:pPr>
              <w:widowControl/>
              <w:numPr>
                <w:ilvl w:val="0"/>
                <w:numId w:val="7"/>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处置责任：根据有关规定作出相应处置措施。</w:t>
            </w:r>
          </w:p>
          <w:p>
            <w:pPr>
              <w:widowControl/>
              <w:numPr>
                <w:ilvl w:val="0"/>
                <w:numId w:val="0"/>
              </w:numPr>
              <w:spacing w:line="240" w:lineRule="exact"/>
              <w:ind w:left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3.事后管理责任：对检查情况进行汇总、分类、归档备查，并跟踪监测。</w:t>
            </w:r>
          </w:p>
          <w:p>
            <w:pPr>
              <w:widowControl/>
              <w:numPr>
                <w:ilvl w:val="0"/>
                <w:numId w:val="0"/>
              </w:numPr>
              <w:spacing w:line="240" w:lineRule="exact"/>
              <w:ind w:leftChars="0"/>
              <w:jc w:val="lef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4.其他法律法规规章文件规定应履行的责任。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kern w:val="0"/>
                <w:sz w:val="20"/>
                <w:szCs w:val="20"/>
              </w:rPr>
            </w:pPr>
            <w:r>
              <w:rPr>
                <w:rFonts w:ascii="微软雅黑" w:hAnsi="微软雅黑" w:eastAsia="微软雅黑" w:cs="微软雅黑"/>
                <w:i w:val="0"/>
                <w:iCs w:val="0"/>
                <w:caps w:val="0"/>
                <w:color w:val="333333"/>
                <w:spacing w:val="0"/>
                <w:sz w:val="21"/>
                <w:szCs w:val="21"/>
                <w:shd w:val="clear" w:fill="FFFFFF"/>
              </w:rPr>
              <w:t>《社会救助暂行办法》（中华人民共和国国务院令第649号 2014年5月1日施行）第五十七条</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监管股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sz w:val="20"/>
                <w:szCs w:val="20"/>
                <w:lang w:val="en-US" w:eastAsia="zh-CN"/>
              </w:rPr>
            </w:pPr>
            <w:r>
              <w:rPr>
                <w:rFonts w:ascii="微软雅黑" w:hAnsi="微软雅黑" w:eastAsia="微软雅黑" w:cs="微软雅黑"/>
                <w:i w:val="0"/>
                <w:iCs w:val="0"/>
                <w:caps w:val="0"/>
                <w:color w:val="333333"/>
                <w:spacing w:val="0"/>
                <w:sz w:val="21"/>
                <w:szCs w:val="21"/>
                <w:shd w:val="clear" w:fill="FFFFFF"/>
              </w:rPr>
              <w:t>自然人、法人、 其他组织</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sz w:val="20"/>
                <w:szCs w:val="20"/>
              </w:rPr>
            </w:pPr>
          </w:p>
        </w:tc>
      </w:tr>
      <w:tr>
        <w:tblPrEx>
          <w:tblCellMar>
            <w:top w:w="130" w:type="dxa"/>
            <w:left w:w="17" w:type="dxa"/>
            <w:bottom w:w="130" w:type="dxa"/>
            <w:right w:w="17" w:type="dxa"/>
          </w:tblCellMar>
        </w:tblPrEx>
        <w:trPr>
          <w:trHeight w:val="2747"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eastAsiaTheme="minorEastAsia"/>
                <w:kern w:val="0"/>
                <w:sz w:val="20"/>
                <w:szCs w:val="20"/>
                <w:lang w:eastAsia="zh-CN"/>
              </w:rPr>
            </w:pPr>
            <w:r>
              <w:rPr>
                <w:rFonts w:ascii="微软雅黑" w:hAnsi="微软雅黑" w:eastAsia="微软雅黑" w:cs="微软雅黑"/>
                <w:i w:val="0"/>
                <w:iCs w:val="0"/>
                <w:caps w:val="0"/>
                <w:color w:val="333333"/>
                <w:spacing w:val="0"/>
                <w:sz w:val="21"/>
                <w:szCs w:val="21"/>
                <w:shd w:val="clear" w:fill="FFFFFF"/>
              </w:rPr>
              <w:t>行政检查</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eastAsiaTheme="minorEastAsia"/>
                <w:kern w:val="0"/>
                <w:sz w:val="20"/>
                <w:szCs w:val="20"/>
                <w:lang w:eastAsia="zh-CN"/>
              </w:rPr>
            </w:pPr>
            <w:r>
              <w:rPr>
                <w:rFonts w:ascii="微软雅黑" w:hAnsi="微软雅黑" w:eastAsia="微软雅黑" w:cs="微软雅黑"/>
                <w:i w:val="0"/>
                <w:iCs w:val="0"/>
                <w:caps w:val="0"/>
                <w:color w:val="333333"/>
                <w:spacing w:val="0"/>
                <w:sz w:val="21"/>
                <w:szCs w:val="21"/>
                <w:shd w:val="clear" w:fill="FFFFFF"/>
              </w:rPr>
              <w:t>对用人单位和个人遵守社会保险法律、法规情况进行监督检查</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宋体" w:hAnsi="宋体" w:cs="宋体" w:eastAsiaTheme="minorEastAsia"/>
                <w:kern w:val="0"/>
                <w:sz w:val="20"/>
                <w:szCs w:val="20"/>
                <w:lang w:val="en-US" w:eastAsia="zh-CN"/>
              </w:rPr>
            </w:pPr>
            <w:r>
              <w:rPr>
                <w:rFonts w:ascii="微软雅黑" w:hAnsi="微软雅黑" w:eastAsia="微软雅黑" w:cs="微软雅黑"/>
                <w:i w:val="0"/>
                <w:iCs w:val="0"/>
                <w:caps w:val="0"/>
                <w:color w:val="333333"/>
                <w:spacing w:val="0"/>
                <w:sz w:val="21"/>
                <w:szCs w:val="21"/>
                <w:shd w:val="clear" w:fill="FFFFFF"/>
              </w:rPr>
              <w:t>《社会保险法》第七十七条  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 xml:space="preserve">检查责任：定期根据法律法规对相关工作开展检查。 </w:t>
            </w:r>
          </w:p>
          <w:p>
            <w:pPr>
              <w:widowControl/>
              <w:numPr>
                <w:ilvl w:val="0"/>
                <w:numId w:val="8"/>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 xml:space="preserve">处置责任：根据有关规定作出相应处置措施。 </w:t>
            </w:r>
          </w:p>
          <w:p>
            <w:pPr>
              <w:widowControl/>
              <w:numPr>
                <w:ilvl w:val="0"/>
                <w:numId w:val="0"/>
              </w:numPr>
              <w:spacing w:line="240" w:lineRule="exact"/>
              <w:ind w:left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3.事后管理责任：对检查情况进行汇总、分类、归档备查，并跟踪监测。</w:t>
            </w:r>
          </w:p>
          <w:p>
            <w:pPr>
              <w:widowControl/>
              <w:numPr>
                <w:ilvl w:val="0"/>
                <w:numId w:val="0"/>
              </w:numPr>
              <w:spacing w:line="240" w:lineRule="exact"/>
              <w:ind w:leftChars="0"/>
              <w:jc w:val="left"/>
              <w:textAlignment w:val="center"/>
              <w:rPr>
                <w:rFonts w:hint="eastAsia" w:ascii="宋体" w:hAnsi="宋体" w:cs="宋体" w:eastAsiaTheme="minorEastAsia"/>
                <w:kern w:val="0"/>
                <w:sz w:val="20"/>
                <w:szCs w:val="20"/>
                <w:lang w:eastAsia="zh-CN"/>
              </w:rPr>
            </w:pPr>
            <w:r>
              <w:rPr>
                <w:rFonts w:ascii="微软雅黑" w:hAnsi="微软雅黑" w:eastAsia="微软雅黑" w:cs="微软雅黑"/>
                <w:i w:val="0"/>
                <w:iCs w:val="0"/>
                <w:caps w:val="0"/>
                <w:color w:val="333333"/>
                <w:spacing w:val="0"/>
                <w:sz w:val="21"/>
                <w:szCs w:val="21"/>
                <w:shd w:val="clear" w:fill="FFFFFF"/>
              </w:rPr>
              <w:t>4.其他法律法规规章文件规定应履行的责任。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eastAsiaTheme="minorEastAsia"/>
                <w:kern w:val="0"/>
                <w:sz w:val="20"/>
                <w:szCs w:val="20"/>
                <w:lang w:eastAsia="zh-CN"/>
              </w:rPr>
            </w:pPr>
            <w:r>
              <w:rPr>
                <w:rFonts w:ascii="微软雅黑" w:hAnsi="微软雅黑" w:eastAsia="微软雅黑" w:cs="微软雅黑"/>
                <w:i w:val="0"/>
                <w:iCs w:val="0"/>
                <w:caps w:val="0"/>
                <w:color w:val="333333"/>
                <w:spacing w:val="0"/>
                <w:sz w:val="21"/>
                <w:szCs w:val="21"/>
                <w:shd w:val="clear" w:fill="FFFFFF"/>
              </w:rPr>
              <w:t>《社会保险法》第七十七条</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hAnsi="宋体" w:eastAsia="宋体" w:cs="宋体"/>
                <w:sz w:val="20"/>
                <w:szCs w:val="20"/>
                <w:lang w:eastAsia="zh-CN"/>
              </w:rPr>
            </w:pPr>
            <w:r>
              <w:rPr>
                <w:rFonts w:ascii="微软雅黑" w:hAnsi="微软雅黑" w:eastAsia="微软雅黑" w:cs="微软雅黑"/>
                <w:i w:val="0"/>
                <w:iCs w:val="0"/>
                <w:caps w:val="0"/>
                <w:color w:val="333333"/>
                <w:spacing w:val="0"/>
                <w:sz w:val="21"/>
                <w:szCs w:val="21"/>
                <w:shd w:val="clear" w:fill="FFFFFF"/>
              </w:rPr>
              <w:t>业务股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自然人、法人、 其他组织</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sz w:val="20"/>
                <w:szCs w:val="20"/>
              </w:rPr>
            </w:pPr>
          </w:p>
        </w:tc>
      </w:tr>
      <w:tr>
        <w:tblPrEx>
          <w:tblCellMar>
            <w:top w:w="130" w:type="dxa"/>
            <w:left w:w="17" w:type="dxa"/>
            <w:bottom w:w="130" w:type="dxa"/>
            <w:right w:w="17" w:type="dxa"/>
          </w:tblCellMar>
        </w:tblPrEx>
        <w:trPr>
          <w:trHeight w:val="211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eastAsiaTheme="minorEastAsia"/>
                <w:kern w:val="0"/>
                <w:sz w:val="20"/>
                <w:szCs w:val="20"/>
                <w:lang w:val="en-US" w:eastAsia="zh-CN"/>
              </w:rPr>
            </w:pPr>
            <w:r>
              <w:rPr>
                <w:rFonts w:ascii="微软雅黑" w:hAnsi="微软雅黑" w:eastAsia="微软雅黑" w:cs="微软雅黑"/>
                <w:i w:val="0"/>
                <w:iCs w:val="0"/>
                <w:caps w:val="0"/>
                <w:color w:val="333333"/>
                <w:spacing w:val="0"/>
                <w:sz w:val="21"/>
                <w:szCs w:val="21"/>
                <w:shd w:val="clear" w:fill="FFFFFF"/>
              </w:rPr>
              <w:t>行政检查</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szCs w:val="20"/>
                <w:lang w:eastAsia="zh-CN"/>
              </w:rPr>
            </w:pPr>
            <w:r>
              <w:rPr>
                <w:rFonts w:ascii="微软雅黑" w:hAnsi="微软雅黑" w:eastAsia="微软雅黑" w:cs="微软雅黑"/>
                <w:i w:val="0"/>
                <w:iCs w:val="0"/>
                <w:caps w:val="0"/>
                <w:color w:val="333333"/>
                <w:spacing w:val="0"/>
                <w:sz w:val="21"/>
                <w:szCs w:val="21"/>
                <w:shd w:val="clear" w:fill="FFFFFF"/>
              </w:rPr>
              <w:t>对纳入基本医疗保险基金支付范围的医疗服务行为和医疗费用加强监督管理</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 xml:space="preserve"> </w:t>
            </w:r>
            <w:r>
              <w:rPr>
                <w:rFonts w:ascii="微软雅黑" w:hAnsi="微软雅黑" w:eastAsia="微软雅黑" w:cs="微软雅黑"/>
                <w:i w:val="0"/>
                <w:iCs w:val="0"/>
                <w:caps w:val="0"/>
                <w:color w:val="333333"/>
                <w:spacing w:val="0"/>
                <w:sz w:val="21"/>
                <w:szCs w:val="21"/>
                <w:shd w:val="clear" w:fill="FFFFFF"/>
              </w:rPr>
              <w:t>《基本医疗卫生与健康促进法》第八十七条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9"/>
              </w:numPr>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检查责任：定期根据法律法规对相关工作开展检查。</w:t>
            </w:r>
          </w:p>
          <w:p>
            <w:pPr>
              <w:widowControl/>
              <w:numPr>
                <w:ilvl w:val="0"/>
                <w:numId w:val="9"/>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处置责任：根据有关规定作出相应处置措施。</w:t>
            </w:r>
          </w:p>
          <w:p>
            <w:pPr>
              <w:widowControl/>
              <w:numPr>
                <w:ilvl w:val="0"/>
                <w:numId w:val="9"/>
              </w:numPr>
              <w:spacing w:line="240" w:lineRule="exact"/>
              <w:ind w:left="0" w:leftChars="0" w:firstLine="0"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事后管理责任：对检查情况进行汇总、分类、归档备查，并跟踪监测。</w:t>
            </w:r>
          </w:p>
          <w:p>
            <w:pPr>
              <w:widowControl/>
              <w:numPr>
                <w:ilvl w:val="0"/>
                <w:numId w:val="0"/>
              </w:numPr>
              <w:spacing w:line="240" w:lineRule="exact"/>
              <w:ind w:leftChars="0"/>
              <w:jc w:val="left"/>
              <w:textAlignment w:val="center"/>
              <w:rPr>
                <w:rFonts w:hint="eastAsia" w:ascii="宋体" w:hAnsi="宋体" w:cs="宋体"/>
                <w:kern w:val="0"/>
                <w:sz w:val="20"/>
                <w:szCs w:val="20"/>
                <w:lang w:eastAsia="zh-CN"/>
              </w:rPr>
            </w:pPr>
            <w:r>
              <w:rPr>
                <w:rFonts w:ascii="微软雅黑" w:hAnsi="微软雅黑" w:eastAsia="微软雅黑" w:cs="微软雅黑"/>
                <w:i w:val="0"/>
                <w:iCs w:val="0"/>
                <w:caps w:val="0"/>
                <w:color w:val="333333"/>
                <w:spacing w:val="0"/>
                <w:sz w:val="21"/>
                <w:szCs w:val="21"/>
                <w:shd w:val="clear" w:fill="FFFFFF"/>
              </w:rPr>
              <w:t>4.其他法律法规规章文件规定应履行的责任。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20"/>
                <w:szCs w:val="20"/>
              </w:rPr>
            </w:pPr>
            <w:r>
              <w:rPr>
                <w:rFonts w:ascii="微软雅黑" w:hAnsi="微软雅黑" w:eastAsia="微软雅黑" w:cs="微软雅黑"/>
                <w:i w:val="0"/>
                <w:iCs w:val="0"/>
                <w:caps w:val="0"/>
                <w:color w:val="333333"/>
                <w:spacing w:val="0"/>
                <w:sz w:val="21"/>
                <w:szCs w:val="21"/>
                <w:shd w:val="clear" w:fill="FFFFFF"/>
              </w:rPr>
              <w:t>《基本医疗卫生与健康促进法》（2020年6月1日施行）   第八十七条</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监管股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eastAsia="宋体" w:cs="宋体"/>
                <w:sz w:val="20"/>
                <w:szCs w:val="20"/>
              </w:rPr>
            </w:pPr>
            <w:r>
              <w:rPr>
                <w:rFonts w:ascii="微软雅黑" w:hAnsi="微软雅黑" w:eastAsia="微软雅黑" w:cs="微软雅黑"/>
                <w:i w:val="0"/>
                <w:iCs w:val="0"/>
                <w:caps w:val="0"/>
                <w:color w:val="333333"/>
                <w:spacing w:val="0"/>
                <w:sz w:val="21"/>
                <w:szCs w:val="21"/>
                <w:shd w:val="clear" w:fill="FFFFFF"/>
              </w:rPr>
              <w:t>自然人、法人、 其他组织</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sz w:val="20"/>
                <w:szCs w:val="20"/>
              </w:rPr>
            </w:pPr>
          </w:p>
        </w:tc>
      </w:tr>
      <w:tr>
        <w:tblPrEx>
          <w:tblCellMar>
            <w:top w:w="130" w:type="dxa"/>
            <w:left w:w="17" w:type="dxa"/>
            <w:bottom w:w="130" w:type="dxa"/>
            <w:right w:w="17" w:type="dxa"/>
          </w:tblCellMar>
        </w:tblPrEx>
        <w:trPr>
          <w:trHeight w:val="625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eastAsia="宋体" w:cs="宋体"/>
                <w:sz w:val="20"/>
                <w:szCs w:val="20"/>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行政检查</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医疗保险稽核</w:t>
            </w:r>
          </w:p>
        </w:tc>
        <w:tc>
          <w:tcPr>
            <w:tcW w:w="4241" w:type="dxa"/>
            <w:tcBorders>
              <w:top w:val="single" w:color="000000" w:sz="4" w:space="0"/>
              <w:left w:val="single" w:color="000000" w:sz="4" w:space="0"/>
              <w:bottom w:val="single" w:color="000000" w:sz="4" w:space="0"/>
              <w:right w:val="single" w:color="000000" w:sz="4" w:space="0"/>
            </w:tcBorders>
            <w:vAlign w:val="center"/>
          </w:tcPr>
          <w:p>
            <w:pPr>
              <w:widowControl/>
              <w:tabs>
                <w:tab w:val="left" w:pos="1256"/>
              </w:tabs>
              <w:spacing w:line="240" w:lineRule="exact"/>
              <w:jc w:val="left"/>
              <w:textAlignment w:val="center"/>
              <w:rPr>
                <w:rFonts w:hint="eastAsia" w:ascii="宋体" w:hAnsi="宋体" w:eastAsia="微软雅黑" w:cs="宋体"/>
                <w:kern w:val="0"/>
                <w:sz w:val="20"/>
                <w:szCs w:val="20"/>
                <w:lang w:eastAsia="zh-CN"/>
              </w:rPr>
            </w:pPr>
            <w:r>
              <w:rPr>
                <w:rFonts w:ascii="微软雅黑" w:hAnsi="微软雅黑" w:eastAsia="微软雅黑" w:cs="微软雅黑"/>
                <w:i w:val="0"/>
                <w:iCs w:val="0"/>
                <w:caps w:val="0"/>
                <w:color w:val="333333"/>
                <w:spacing w:val="0"/>
                <w:sz w:val="21"/>
                <w:szCs w:val="21"/>
                <w:shd w:val="clear" w:fill="FFFFFF"/>
              </w:rPr>
              <w:t>《社会保险法》第三十一条  社会保险经办机构根据管理服务的需要，可以与医疗机构、药品经营单位签订服务协议，规范医疗服务行为。医疗机构应当为参保人员提供合理、必要的医疗服务。《社会保险稽核办法》（劳动部令第16号）第二条  本办法所称稽核是指社会保险经办机构依法对社会保险费缴纳情况和社会保险待遇领取情况进行的核查。第三条  县级以上社会保险经办机构负责社会保险稽核工作。第五条  社会保险经办机构及社会保险稽核人员开展稽核工作，行使下列职权：（一）要求被稽核单位提供用人情况、工资收入情况、财务报表、统计报表、缴费数据和相关帐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r>
              <w:rPr>
                <w:rFonts w:hint="eastAsia" w:ascii="微软雅黑" w:hAnsi="微软雅黑" w:eastAsia="微软雅黑" w:cs="微软雅黑"/>
                <w:i w:val="0"/>
                <w:iCs w:val="0"/>
                <w:caps w:val="0"/>
                <w:color w:val="333333"/>
                <w:spacing w:val="0"/>
                <w:sz w:val="21"/>
                <w:szCs w:val="21"/>
                <w:shd w:val="clear" w:fill="FFFFFF"/>
                <w:lang w:eastAsia="zh-CN"/>
              </w:rPr>
              <w:t>。</w:t>
            </w:r>
          </w:p>
        </w:tc>
        <w:tc>
          <w:tcPr>
            <w:tcW w:w="420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left" w:pos="1484"/>
              </w:tabs>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ascii="微软雅黑" w:hAnsi="微软雅黑" w:eastAsia="微软雅黑" w:cs="微软雅黑"/>
                <w:i w:val="0"/>
                <w:iCs w:val="0"/>
                <w:caps w:val="0"/>
                <w:color w:val="333333"/>
                <w:spacing w:val="0"/>
                <w:sz w:val="21"/>
                <w:szCs w:val="21"/>
                <w:shd w:val="clear" w:fill="FFFFFF"/>
              </w:rPr>
              <w:t>检查责任：定期根据法律法规对相关工作开展检查。</w:t>
            </w:r>
          </w:p>
          <w:p>
            <w:pPr>
              <w:widowControl/>
              <w:numPr>
                <w:ilvl w:val="0"/>
                <w:numId w:val="0"/>
              </w:numPr>
              <w:tabs>
                <w:tab w:val="left" w:pos="1484"/>
              </w:tabs>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2.处置责任：根据有关规定作出相应处置措施。3.事后管理责任：对检查情况进行汇总、分类、归档备查，并跟踪监测。</w:t>
            </w:r>
          </w:p>
          <w:p>
            <w:pPr>
              <w:widowControl/>
              <w:numPr>
                <w:ilvl w:val="0"/>
                <w:numId w:val="0"/>
              </w:numPr>
              <w:tabs>
                <w:tab w:val="left" w:pos="1484"/>
              </w:tabs>
              <w:spacing w:line="240" w:lineRule="exact"/>
              <w:jc w:val="left"/>
              <w:textAlignment w:val="center"/>
              <w:rPr>
                <w:rFonts w:hint="eastAsia" w:ascii="微软雅黑" w:hAnsi="微软雅黑" w:eastAsia="微软雅黑" w:cs="微软雅黑"/>
                <w:i w:val="0"/>
                <w:iCs w:val="0"/>
                <w:caps w:val="0"/>
                <w:color w:val="333333"/>
                <w:spacing w:val="0"/>
                <w:sz w:val="21"/>
                <w:szCs w:val="21"/>
                <w:shd w:val="clear" w:fill="FFFFFF"/>
                <w:lang w:eastAsia="zh-CN"/>
              </w:rPr>
            </w:pPr>
            <w:r>
              <w:rPr>
                <w:rFonts w:ascii="微软雅黑" w:hAnsi="微软雅黑" w:eastAsia="微软雅黑" w:cs="微软雅黑"/>
                <w:i w:val="0"/>
                <w:iCs w:val="0"/>
                <w:caps w:val="0"/>
                <w:color w:val="333333"/>
                <w:spacing w:val="0"/>
                <w:sz w:val="21"/>
                <w:szCs w:val="21"/>
                <w:shd w:val="clear" w:fill="FFFFFF"/>
              </w:rPr>
              <w:t>4.其他法律法规规章文件规定应履行的责任。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571" w:firstLineChars="0"/>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《社会保险法》第三十一条《社会保险稽核办法》（劳动部令第16号 2003年4月1日施行）第二条、第三条、第五条、第十二条</w:t>
            </w:r>
          </w:p>
        </w:tc>
        <w:tc>
          <w:tcPr>
            <w:tcW w:w="80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医保中心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定点医疗机构、定点药店、参保单位、参保人员</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sz w:val="20"/>
                <w:szCs w:val="20"/>
              </w:rPr>
            </w:pPr>
          </w:p>
        </w:tc>
      </w:tr>
    </w:tbl>
    <w:p>
      <w:pPr>
        <w:rPr>
          <w:rFonts w:ascii="仿宋_GB2312" w:hAnsi="仿宋_GB2312" w:eastAsia="仿宋_GB2312" w:cs="仿宋_GB2312"/>
          <w:bCs/>
          <w:kern w:val="0"/>
          <w:sz w:val="32"/>
          <w:szCs w:val="32"/>
        </w:rPr>
      </w:pPr>
    </w:p>
    <w:sectPr>
      <w:pgSz w:w="16838" w:h="11906" w:orient="landscape"/>
      <w:pgMar w:top="1247" w:right="2098" w:bottom="1247" w:left="124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99E3"/>
    <w:multiLevelType w:val="singleLevel"/>
    <w:tmpl w:val="8EC899E3"/>
    <w:lvl w:ilvl="0" w:tentative="0">
      <w:start w:val="1"/>
      <w:numFmt w:val="decimal"/>
      <w:lvlText w:val="%1."/>
      <w:lvlJc w:val="left"/>
      <w:pPr>
        <w:tabs>
          <w:tab w:val="left" w:pos="312"/>
        </w:tabs>
      </w:pPr>
    </w:lvl>
  </w:abstractNum>
  <w:abstractNum w:abstractNumId="1">
    <w:nsid w:val="B7E68BBB"/>
    <w:multiLevelType w:val="singleLevel"/>
    <w:tmpl w:val="B7E68BBB"/>
    <w:lvl w:ilvl="0" w:tentative="0">
      <w:start w:val="1"/>
      <w:numFmt w:val="decimal"/>
      <w:lvlText w:val="%1."/>
      <w:lvlJc w:val="left"/>
      <w:pPr>
        <w:tabs>
          <w:tab w:val="left" w:pos="312"/>
        </w:tabs>
      </w:pPr>
    </w:lvl>
  </w:abstractNum>
  <w:abstractNum w:abstractNumId="2">
    <w:nsid w:val="BCAEE01E"/>
    <w:multiLevelType w:val="singleLevel"/>
    <w:tmpl w:val="BCAEE01E"/>
    <w:lvl w:ilvl="0" w:tentative="0">
      <w:start w:val="1"/>
      <w:numFmt w:val="decimal"/>
      <w:lvlText w:val="%1."/>
      <w:lvlJc w:val="left"/>
      <w:pPr>
        <w:tabs>
          <w:tab w:val="left" w:pos="312"/>
        </w:tabs>
      </w:pPr>
    </w:lvl>
  </w:abstractNum>
  <w:abstractNum w:abstractNumId="3">
    <w:nsid w:val="092657A6"/>
    <w:multiLevelType w:val="singleLevel"/>
    <w:tmpl w:val="092657A6"/>
    <w:lvl w:ilvl="0" w:tentative="0">
      <w:start w:val="1"/>
      <w:numFmt w:val="decimal"/>
      <w:lvlText w:val="%1."/>
      <w:lvlJc w:val="left"/>
      <w:pPr>
        <w:tabs>
          <w:tab w:val="left" w:pos="312"/>
        </w:tabs>
      </w:pPr>
    </w:lvl>
  </w:abstractNum>
  <w:abstractNum w:abstractNumId="4">
    <w:nsid w:val="0DBB2998"/>
    <w:multiLevelType w:val="singleLevel"/>
    <w:tmpl w:val="0DBB2998"/>
    <w:lvl w:ilvl="0" w:tentative="0">
      <w:start w:val="1"/>
      <w:numFmt w:val="decimal"/>
      <w:lvlText w:val="%1."/>
      <w:lvlJc w:val="left"/>
      <w:pPr>
        <w:tabs>
          <w:tab w:val="left" w:pos="312"/>
        </w:tabs>
      </w:pPr>
    </w:lvl>
  </w:abstractNum>
  <w:abstractNum w:abstractNumId="5">
    <w:nsid w:val="4B9870FB"/>
    <w:multiLevelType w:val="singleLevel"/>
    <w:tmpl w:val="4B9870FB"/>
    <w:lvl w:ilvl="0" w:tentative="0">
      <w:start w:val="1"/>
      <w:numFmt w:val="decimal"/>
      <w:lvlText w:val="%1."/>
      <w:lvlJc w:val="left"/>
      <w:pPr>
        <w:tabs>
          <w:tab w:val="left" w:pos="312"/>
        </w:tabs>
      </w:pPr>
    </w:lvl>
  </w:abstractNum>
  <w:abstractNum w:abstractNumId="6">
    <w:nsid w:val="4C82A530"/>
    <w:multiLevelType w:val="singleLevel"/>
    <w:tmpl w:val="4C82A530"/>
    <w:lvl w:ilvl="0" w:tentative="0">
      <w:start w:val="1"/>
      <w:numFmt w:val="decimal"/>
      <w:lvlText w:val="%1."/>
      <w:lvlJc w:val="left"/>
      <w:pPr>
        <w:tabs>
          <w:tab w:val="left" w:pos="312"/>
        </w:tabs>
      </w:pPr>
    </w:lvl>
  </w:abstractNum>
  <w:abstractNum w:abstractNumId="7">
    <w:nsid w:val="69F4DC90"/>
    <w:multiLevelType w:val="singleLevel"/>
    <w:tmpl w:val="69F4DC90"/>
    <w:lvl w:ilvl="0" w:tentative="0">
      <w:start w:val="1"/>
      <w:numFmt w:val="decimal"/>
      <w:lvlText w:val="  %1"/>
      <w:lvlJc w:val="left"/>
      <w:pPr>
        <w:tabs>
          <w:tab w:val="left" w:pos="420"/>
        </w:tabs>
        <w:ind w:left="425" w:hanging="425"/>
      </w:pPr>
      <w:rPr>
        <w:rFonts w:hint="default"/>
      </w:rPr>
    </w:lvl>
  </w:abstractNum>
  <w:abstractNum w:abstractNumId="8">
    <w:nsid w:val="72744822"/>
    <w:multiLevelType w:val="singleLevel"/>
    <w:tmpl w:val="72744822"/>
    <w:lvl w:ilvl="0" w:tentative="0">
      <w:start w:val="1"/>
      <w:numFmt w:val="decimal"/>
      <w:lvlText w:val="%1."/>
      <w:lvlJc w:val="left"/>
      <w:pPr>
        <w:tabs>
          <w:tab w:val="left" w:pos="312"/>
        </w:tabs>
      </w:pPr>
    </w:lvl>
  </w:abstractNum>
  <w:num w:numId="1">
    <w:abstractNumId w:val="7"/>
  </w:num>
  <w:num w:numId="2">
    <w:abstractNumId w:val="3"/>
  </w:num>
  <w:num w:numId="3">
    <w:abstractNumId w:val="2"/>
  </w:num>
  <w:num w:numId="4">
    <w:abstractNumId w:val="1"/>
  </w:num>
  <w:num w:numId="5">
    <w:abstractNumId w:val="4"/>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YzgxZjQ4Y2JkYTRiYmJkZTdlMWI0ZmM5YTJmNDgifQ=="/>
  </w:docVars>
  <w:rsids>
    <w:rsidRoot w:val="57416E3E"/>
    <w:rsid w:val="001812FE"/>
    <w:rsid w:val="0037501F"/>
    <w:rsid w:val="009164D3"/>
    <w:rsid w:val="021378E3"/>
    <w:rsid w:val="031A0262"/>
    <w:rsid w:val="033D2B80"/>
    <w:rsid w:val="072166C6"/>
    <w:rsid w:val="09DC5FA4"/>
    <w:rsid w:val="16664E26"/>
    <w:rsid w:val="21B57F6B"/>
    <w:rsid w:val="231B6DE6"/>
    <w:rsid w:val="232B71C4"/>
    <w:rsid w:val="25B944F3"/>
    <w:rsid w:val="27C03A31"/>
    <w:rsid w:val="31F337F8"/>
    <w:rsid w:val="424100E3"/>
    <w:rsid w:val="43EB3903"/>
    <w:rsid w:val="45630308"/>
    <w:rsid w:val="46755D59"/>
    <w:rsid w:val="47E2155D"/>
    <w:rsid w:val="4B2C7E1E"/>
    <w:rsid w:val="4CF24303"/>
    <w:rsid w:val="543839A9"/>
    <w:rsid w:val="56223E0E"/>
    <w:rsid w:val="57416E3E"/>
    <w:rsid w:val="57C075C5"/>
    <w:rsid w:val="6082654F"/>
    <w:rsid w:val="61344352"/>
    <w:rsid w:val="62CC5DA4"/>
    <w:rsid w:val="65871B1F"/>
    <w:rsid w:val="6796116D"/>
    <w:rsid w:val="72B703C3"/>
    <w:rsid w:val="77B865B6"/>
    <w:rsid w:val="7C14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51"/>
    <w:basedOn w:val="6"/>
    <w:qFormat/>
    <w:uiPriority w:val="0"/>
    <w:rPr>
      <w:rFonts w:hint="eastAsia" w:ascii="宋体" w:hAnsi="宋体" w:eastAsia="宋体" w:cs="宋体"/>
      <w:color w:val="000000"/>
      <w:sz w:val="20"/>
      <w:szCs w:val="20"/>
      <w:u w:val="none"/>
    </w:rPr>
  </w:style>
  <w:style w:type="character" w:customStyle="1" w:styleId="8">
    <w:name w:val="font41"/>
    <w:basedOn w:val="6"/>
    <w:qFormat/>
    <w:uiPriority w:val="0"/>
    <w:rPr>
      <w:rFonts w:hint="eastAsia" w:ascii="宋体" w:hAnsi="宋体" w:eastAsia="宋体" w:cs="宋体"/>
      <w:b/>
      <w:color w:val="000000"/>
      <w:sz w:val="20"/>
      <w:szCs w:val="20"/>
      <w:u w:val="non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3632</Words>
  <Characters>3703</Characters>
  <Lines>27</Lines>
  <Paragraphs>7</Paragraphs>
  <TotalTime>30</TotalTime>
  <ScaleCrop>false</ScaleCrop>
  <LinksUpToDate>false</LinksUpToDate>
  <CharactersWithSpaces>3735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2019-06-26T04:45:00Z</dcterms:created>
  <dc:creator>平哥1391402836</dc:creator>
  <cp:lastModifiedBy>杨书豪</cp:lastModifiedBy>
  <cp:lastPrinted>2020-04-14T01:15:00Z</cp:lastPrinted>
  <dcterms:modified xsi:type="dcterms:W3CDTF">2024-12-15T06:55:14Z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F78A2A2AE5B14D47AF52E0F284FF11A5_13</vt:lpwstr>
  </property>
</Properties>
</file>