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center"/>
        <w:rPr>
          <w:rFonts w:ascii="微软雅黑" w:hAnsi="微软雅黑" w:eastAsia="微软雅黑" w:cs="微软雅黑"/>
          <w:b w:val="0"/>
          <w:bCs w:val="0"/>
          <w:i w:val="0"/>
          <w:iCs w:val="0"/>
          <w:caps w:val="0"/>
          <w:color w:val="333333"/>
          <w:spacing w:val="0"/>
          <w:sz w:val="22"/>
          <w:szCs w:val="22"/>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蒲场镇人民政府权责清单</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2021年</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bookmarkEnd w:id="0"/>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8"/>
        <w:gridCol w:w="205"/>
        <w:gridCol w:w="196"/>
        <w:gridCol w:w="875"/>
        <w:gridCol w:w="2729"/>
        <w:gridCol w:w="2621"/>
        <w:gridCol w:w="951"/>
        <w:gridCol w:w="404"/>
        <w:gridCol w:w="526"/>
        <w:gridCol w:w="17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0" w:hRule="atLeast"/>
        </w:trPr>
        <w:tc>
          <w:tcPr>
            <w:tcW w:w="16275" w:type="dxa"/>
            <w:gridSpan w:val="10"/>
            <w:tcBorders>
              <w:top w:val="outset" w:color="auto" w:sz="6" w:space="0"/>
              <w:left w:val="outset" w:color="auto" w:sz="6" w:space="0"/>
              <w:bottom w:val="outset" w:color="auto" w:sz="6" w:space="0"/>
              <w:right w:val="outset"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sz w:val="24"/>
                <w:szCs w:val="24"/>
              </w:rPr>
            </w:pPr>
            <w:r>
              <w:rPr>
                <w:rFonts w:hint="eastAsia" w:ascii="仿宋_GB2312" w:cs="仿宋_GB2312"/>
                <w:b/>
                <w:bCs/>
                <w:sz w:val="31"/>
                <w:szCs w:val="31"/>
                <w:lang w:val="en-US" w:eastAsia="zh-CN"/>
              </w:rPr>
              <w:t xml:space="preserve">             </w:t>
            </w:r>
            <w:r>
              <w:rPr>
                <w:rFonts w:ascii="仿宋_GB2312" w:eastAsia="仿宋_GB2312" w:cs="仿宋_GB2312"/>
                <w:b/>
                <w:bCs/>
                <w:sz w:val="31"/>
                <w:szCs w:val="31"/>
              </w:rPr>
              <w:t>蒲场镇人民政府权责清单（2021年）</w:t>
            </w:r>
            <w:r>
              <w:rPr>
                <w:rStyle w:val="8"/>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ascii="Liberation Serif" w:hAnsi="Liberation Serif" w:eastAsia="Liberation Serif" w:cs="Liberation Serif"/>
                <w:b/>
                <w:bCs/>
                <w:sz w:val="15"/>
                <w:szCs w:val="15"/>
              </w:rPr>
              <w:t>序</w:t>
            </w:r>
            <w:r>
              <w:rPr>
                <w:rStyle w:val="8"/>
                <w:rFonts w:hint="default" w:ascii="Liberation Serif" w:hAnsi="Liberation Serif" w:eastAsia="Liberation Serif" w:cs="Liberation Serif"/>
                <w:b/>
                <w:bCs/>
                <w:sz w:val="15"/>
                <w:szCs w:val="15"/>
              </w:rPr>
              <w:br w:type="textWrapping"/>
            </w:r>
            <w:r>
              <w:rPr>
                <w:rStyle w:val="8"/>
                <w:rFonts w:hint="default" w:ascii="Liberation Serif" w:hAnsi="Liberation Serif" w:eastAsia="Liberation Serif" w:cs="Liberation Serif"/>
                <w:b/>
                <w:bCs/>
                <w:sz w:val="15"/>
                <w:szCs w:val="15"/>
              </w:rPr>
              <w:t>号</w:t>
            </w:r>
          </w:p>
        </w:tc>
        <w:tc>
          <w:tcPr>
            <w:tcW w:w="0" w:type="auto"/>
            <w:tcBorders>
              <w:top w:val="single" w:color="000000" w:sz="6" w:space="0"/>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hint="default" w:ascii="Liberation Serif" w:hAnsi="Liberation Serif" w:eastAsia="Liberation Serif" w:cs="Liberation Serif"/>
                <w:b/>
                <w:bCs/>
                <w:sz w:val="15"/>
                <w:szCs w:val="15"/>
              </w:rPr>
              <w:t>权力</w:t>
            </w:r>
            <w:r>
              <w:rPr>
                <w:rStyle w:val="8"/>
                <w:rFonts w:hint="default" w:ascii="Liberation Serif" w:hAnsi="Liberation Serif" w:eastAsia="Liberation Serif" w:cs="Liberation Serif"/>
                <w:b/>
                <w:bCs/>
                <w:sz w:val="15"/>
                <w:szCs w:val="15"/>
              </w:rPr>
              <w:br w:type="textWrapping"/>
            </w:r>
            <w:r>
              <w:rPr>
                <w:rStyle w:val="8"/>
                <w:rFonts w:hint="default" w:ascii="Liberation Serif" w:hAnsi="Liberation Serif" w:eastAsia="Liberation Serif" w:cs="Liberation Serif"/>
                <w:b/>
                <w:bCs/>
                <w:sz w:val="15"/>
                <w:szCs w:val="15"/>
              </w:rPr>
              <w:t>类型</w:t>
            </w:r>
          </w:p>
        </w:tc>
        <w:tc>
          <w:tcPr>
            <w:tcW w:w="0" w:type="auto"/>
            <w:tcBorders>
              <w:top w:val="single" w:color="000000" w:sz="6" w:space="0"/>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hint="default" w:ascii="Liberation Serif" w:hAnsi="Liberation Serif" w:eastAsia="Liberation Serif" w:cs="Liberation Serif"/>
                <w:b/>
                <w:bCs/>
                <w:sz w:val="15"/>
                <w:szCs w:val="15"/>
              </w:rPr>
              <w:t>事项编码</w:t>
            </w:r>
          </w:p>
        </w:tc>
        <w:tc>
          <w:tcPr>
            <w:tcW w:w="0" w:type="auto"/>
            <w:tcBorders>
              <w:top w:val="single" w:color="000000" w:sz="6" w:space="0"/>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hint="default" w:ascii="Liberation Serif" w:hAnsi="Liberation Serif" w:eastAsia="Liberation Serif" w:cs="Liberation Serif"/>
                <w:b/>
                <w:bCs/>
                <w:sz w:val="15"/>
                <w:szCs w:val="15"/>
              </w:rPr>
              <w:t>权力名称</w:t>
            </w:r>
          </w:p>
        </w:tc>
        <w:tc>
          <w:tcPr>
            <w:tcW w:w="0" w:type="auto"/>
            <w:tcBorders>
              <w:top w:val="single" w:color="000000" w:sz="6" w:space="0"/>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hint="default" w:ascii="Liberation Serif" w:hAnsi="Liberation Serif" w:eastAsia="Liberation Serif" w:cs="Liberation Serif"/>
                <w:b/>
                <w:bCs/>
                <w:sz w:val="15"/>
                <w:szCs w:val="15"/>
              </w:rPr>
              <w:t>权力依据</w:t>
            </w:r>
          </w:p>
        </w:tc>
        <w:tc>
          <w:tcPr>
            <w:tcW w:w="0" w:type="auto"/>
            <w:tcBorders>
              <w:top w:val="single" w:color="000000" w:sz="6" w:space="0"/>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hint="default" w:ascii="Liberation Serif" w:hAnsi="Liberation Serif" w:eastAsia="Liberation Serif" w:cs="Liberation Serif"/>
                <w:b/>
                <w:bCs/>
                <w:sz w:val="15"/>
                <w:szCs w:val="15"/>
              </w:rPr>
              <w:t>责任事项</w:t>
            </w:r>
          </w:p>
        </w:tc>
        <w:tc>
          <w:tcPr>
            <w:tcW w:w="0" w:type="auto"/>
            <w:tcBorders>
              <w:top w:val="single" w:color="000000" w:sz="6" w:space="0"/>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hint="default" w:ascii="Liberation Serif" w:hAnsi="Liberation Serif" w:eastAsia="Liberation Serif" w:cs="Liberation Serif"/>
                <w:b/>
                <w:bCs/>
                <w:sz w:val="15"/>
                <w:szCs w:val="15"/>
              </w:rPr>
              <w:t>责任事项依据</w:t>
            </w:r>
          </w:p>
        </w:tc>
        <w:tc>
          <w:tcPr>
            <w:tcW w:w="0" w:type="auto"/>
            <w:tcBorders>
              <w:top w:val="single" w:color="000000" w:sz="6" w:space="0"/>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hint="default" w:ascii="Liberation Serif" w:hAnsi="Liberation Serif" w:eastAsia="Liberation Serif" w:cs="Liberation Serif"/>
                <w:b/>
                <w:bCs/>
                <w:sz w:val="15"/>
                <w:szCs w:val="15"/>
              </w:rPr>
              <w:t>承办</w:t>
            </w:r>
            <w:r>
              <w:rPr>
                <w:rStyle w:val="8"/>
                <w:rFonts w:hint="default" w:ascii="Liberation Serif" w:hAnsi="Liberation Serif" w:eastAsia="Liberation Serif" w:cs="Liberation Serif"/>
                <w:b/>
                <w:bCs/>
                <w:sz w:val="15"/>
                <w:szCs w:val="15"/>
              </w:rPr>
              <w:br w:type="textWrapping"/>
            </w:r>
            <w:r>
              <w:rPr>
                <w:rStyle w:val="8"/>
                <w:rFonts w:hint="default" w:ascii="Liberation Serif" w:hAnsi="Liberation Serif" w:eastAsia="Liberation Serif" w:cs="Liberation Serif"/>
                <w:b/>
                <w:bCs/>
                <w:sz w:val="15"/>
                <w:szCs w:val="15"/>
              </w:rPr>
              <w:t>机构</w:t>
            </w:r>
          </w:p>
        </w:tc>
        <w:tc>
          <w:tcPr>
            <w:tcW w:w="0" w:type="auto"/>
            <w:tcBorders>
              <w:top w:val="single" w:color="000000" w:sz="6" w:space="0"/>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hint="default" w:ascii="Liberation Serif" w:hAnsi="Liberation Serif" w:eastAsia="Liberation Serif" w:cs="Liberation Serif"/>
                <w:b/>
                <w:bCs/>
                <w:sz w:val="15"/>
                <w:szCs w:val="15"/>
              </w:rPr>
              <w:t>追责对象</w:t>
            </w:r>
            <w:r>
              <w:rPr>
                <w:rStyle w:val="8"/>
                <w:rFonts w:hint="default" w:ascii="Liberation Serif" w:hAnsi="Liberation Serif" w:eastAsia="Liberation Serif" w:cs="Liberation Serif"/>
                <w:b/>
                <w:bCs/>
                <w:sz w:val="15"/>
                <w:szCs w:val="15"/>
              </w:rPr>
              <w:br w:type="textWrapping"/>
            </w:r>
            <w:r>
              <w:rPr>
                <w:rStyle w:val="8"/>
                <w:rFonts w:hint="default" w:ascii="Liberation Serif" w:hAnsi="Liberation Serif" w:eastAsia="Liberation Serif" w:cs="Liberation Serif"/>
                <w:b/>
                <w:bCs/>
                <w:sz w:val="15"/>
                <w:szCs w:val="15"/>
              </w:rPr>
              <w:t>范围</w:t>
            </w:r>
          </w:p>
        </w:tc>
        <w:tc>
          <w:tcPr>
            <w:tcW w:w="0" w:type="auto"/>
            <w:tcBorders>
              <w:top w:val="single" w:color="000000" w:sz="6" w:space="0"/>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8"/>
                <w:rFonts w:hint="default" w:ascii="Liberation Serif" w:hAnsi="Liberation Serif" w:eastAsia="Liberation Serif" w:cs="Liberation Serif"/>
                <w:b/>
                <w:bCs/>
                <w:sz w:val="15"/>
                <w:szCs w:val="15"/>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ascii="仿宋" w:hAnsi="仿宋" w:eastAsia="仿宋" w:cs="仿宋"/>
                <w:b/>
                <w:bCs/>
                <w:sz w:val="15"/>
                <w:szCs w:val="15"/>
              </w:rPr>
              <w:t>1</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行政许可</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农民集体所有的土地由本集体经济组织以外的单位或者个人承包经营批准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4.送达责任：在规定期限内向申请人送达行政许可证件；建立信息档案；公开有关信息。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行政许可</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在承包经营期内，对承包经营者使用的草原进行微调的批准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4.送达责任：在规定期限内向申请人送达行政许可证件；建立信息档案；公开有关信息。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行政许可</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对草原由本集体经济组织以外的单位或者个人承包经营的批准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4.送达责任：在规定期限内向申请人送达行政许可证件；建立信息档案；公开有关信息。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行政许可</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在村庄、集镇规划区修建临时建筑物、构筑物和其他设施的许可</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    《村庄和集镇规划建设管理条例》第三十二条  未经乡镇人民政府批准，任何单位和个人不得擅自在村庄、集镇规划区的街道、广场、市场和车站等场所修建临时建筑物、构筑物和其他设施。</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4.送达责任：在规定期限内向申请人送达行政许可证件；建立信息档案；公开有关信息。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6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行政处罚</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对农村居民未经批准或者违反规划的规定修建住宅的处罚</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    农村居民未经批准或者违反规划的规定建住宅的，乡级人民政府可以依照前款规定处罚。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一般程序：</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6.送达责任：行政处罚决定书在决定后七日内依照《民事诉讼法》的有关规定送达当事人。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8.法律法规规章文件规定应履行的其他责任。</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简易程序：</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1.调查责任：收集证据，查明事实，向当事人出示证件，执法人员与当事人有利害关系的，应当回避。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2.告知责任：在作出处罚决定前，应当告知当事人拟作出行政处罚决定的事实、理由和依据，并告知当事人依法享有的权利；当事人进行陈述和申辩的，应当听取当事人的意见。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3.决定责任：当场填写预订格式、编有号码的决定书，并加盖公章；行政处罚决定书上应载明违法行为、处罚依据、处罚种类、时间、地点、行政机关名称以及救济途径。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4.送达责任：当场交付当事人。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5.备案责任：执法人员当场作出处罚决定后，必须报所属行政机关备案。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6.执行责任：督促当事人履行生效的行政处罚决定，对逾期不履行的，依照《中华人民共和国行政强制法》的规定执行。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7.法律法规规章文件规定应履行的其他责任。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国土所，村建中心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6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行政处罚</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对损坏村庄和集镇的房屋、公共设施的行政处罚</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    《村庄和集镇规划建设管理条例》第三十九条 有下列行为之一的，由乡级人民政府责令停止侵害，可以处以罚款；造成损失的，并应当赔偿：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（一）损坏村庄和集镇的房屋、公共设施的。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（二）乱堆粪便、垃圾、柴草，破坏村容镇貌和环境卫生的。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一般程序：</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6.送达责任：行政处罚决定书在决定后七日内依照《民事诉讼法》的有关规定送达当事人。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8.法律法规规章文件规定应履行的其他责任。</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简易程序：</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1.调查责任：收集证据，查明事实，向当事人出示证件，执法人员与当事人有利害关系的，应当回避。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2.告知责任：在作出处罚决定前，应当告知当事人拟作出行政处罚决定的事实、理由和依据，并告知当事人依法享有的权利；当事人进行陈述和申辩的，应当听取当事人的意见。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3.决定责任：当场填写预订格式、编有号码的决定书，并加盖公章；行政处罚决定书上应载明违法行为、处罚依据、处罚种类、时间、地点、行政机关名称以及救济途径。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4.送达责任：当场交付当事人。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5.备案责任：执法人员当场作出处罚决定后，必须报所属行政机关备案。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6.执行责任：督促当事人履行生效的行政处罚决定，对逾期不履行的，依照《中华人民共和国行政强制法》的规定执行。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7.法律法规规章文件规定应履行的其他责任。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6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行政处罚</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对擅自在村庄、集镇规划区内的街道、广场、市场和车站等场所修建临时建筑物、构筑物和其他设施的处罚</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    《村庄和集镇规划建设管理条例》第四十条 擅自在村庄、集镇规划区内的街道、广场、市场和车站等场所修建临时建筑物、构筑物和其他设施的，由乡级人民政府责令限期拆除，并可处以罚款。</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一般程序：</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6.送达责任：行政处罚决定书在决定后七日内依照《民事诉讼法》的有关规定送达当事人。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8.法律法规规章文件规定应履行的其他责任。</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简易程序：</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1.调查责任：收集证据，查明事实，向当事人出示证件，执法人员与当事人有利害关系的，应当回避。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2.告知责任：在作出处罚决定前，应当告知当事人拟作出行政处罚决定的事实、理由和依据，并告知当事人依法享有的权利；当事人进行陈述和申辩的，应当听取当事人的意见。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3.决定责任：当场填写预订格式、编有号码的决定书，并加盖公章；行政处罚决定书上应载明违法行为、处罚依据、处罚种类、时间、地点、行政机关名称以及救济途径。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4.送达责任：当场交付当事人。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5.备案责任：执法人员当场作出处罚决定后，必须报所属行政机关备案。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6.执行责任：督促当事人履行生效的行政处罚决定，对逾期不履行的，依照《中华人民共和国行政强制法》的规定执行。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7.法律法规规章文件规定应履行的其他责任。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5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行政处罚</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对单位和个人损坏或者擅自移动有钉螺地带警示标志的处罚</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6.送达责任：行政处罚决定书在决定后七日内依照《民事诉讼法》的有关规定送达当事人。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8.法律法规规章文件规定应履行的其他责任。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卫生院</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9</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行政强制  </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对在乡、村庄规划区内未依法取得乡村建设规划许可证或者未按照乡村建设规划许可证的规定进行建设的拆除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2.审查责任：案件承办机构负责人对办案人员提出的采取行政强制的理由、种类、依据进行审查。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4.执行责任：制作并送达查封（扣押、冻结）决定书，妥善保管有关财物。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《行政强制法》第十八、二十四、二十六、三十一、三十二、三十三条。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村建中心、国土所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10</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行政强制  </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对在电力设施保护区内修建的危及电力设施安全的建筑物、构筑物或者种植植物、堆放物品的强制拆除、砍伐或者清除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2.审查责任：案件承办机构负责人对办案人员提出的采取行政强制的理由、种类、依据进行审查。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4.执行责任：制作并送达查封（扣押、冻结）决定书，妥善保管有关财物。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《行政强制法》第十八、二十四、二十六、三十一、三十二、三十三条。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国土所、派出所、供电所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11</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行政强制</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责令拆除未经煤矿企业同意修建建筑物、构筑物</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  《中华人民共和国煤炭法》第五十二条　未经煤矿企业同意，任何单位或者个人不得在煤矿企业依法取得土地使用权的有效期间内在该土地上种植、养殖、取土或者修建建筑物、构筑物。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第六十二条　违反本法第五十二条的规定，未经煤矿企业同意，在煤矿企业依法取得土地使用权的有效期间内在该土地上修建建筑物、构筑物的，由当地人民政府动员拆除；拒不拆除的，责令拆除。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2.审查责任：案件承办机构负责人对办案人员提出的采取行政强制的理由、种类、依据进行审查。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4.执行责任：制作并送达查封（扣押、冻结）决定书，妥善保管有关财物。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《行政强制法》第十八、二十四、二十六、三十一、三十二、三十三条。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国土所、安监站、派出所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12</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行政强制</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对非法种植毒品原植物的处置</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地方各级人民政府发现非法种植毒品原植物的，应当立即采取措施予以制止、铲除。村民委员会、居民委员会发现非法种植毒品原植物的，应当及时予以制止、铲除，并向当地公安机关报告。</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2.审查责任：案件承办机构负责人对办案人员提出的采取行政强制的理由、种类、依据进行审查。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4.执行责任：制作并送达查封（扣押、冻结）决定书，妥善保管有关财物。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《行政强制法》第十八、二十四、二十六、三十一、三十二、三十三条。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派出所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13</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行政给付</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对家庭经济困难的适龄儿童、少年免费提供教科书并补助寄宿生生活费</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    《中华人民共和国义务教育法》第四十四条第二款各级人民政府对家庭经济困难的适龄儿童、少年免费提供教科书并补助寄宿生生活费。</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1.受理责任：公示法定应当提交的材料；一次性告知补正材料，依法受理或不予受理申请（不予受理的说明理由）。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3.决定责任：作出给付的行政决定，依法送达。</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《中华人民共和国义务教育法》第四十四条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九年一贯制学校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14</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行政给付</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对生活困难残疾人、对贫困残疾人、对生活不能自理残疾人的救助</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    《中华人民共和国残疾人保障法》第四十八条第一款  各级人民政府对生活确有困难的残疾人，通过多种渠道给予生活、教育、住房和其他社会救助。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第四十八条第三款  各级人民政府对贫困残疾人的基本医疗、康复服务、必要的辅助器具的配置和更换，应当按照规定给予救助。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第四十八条第四款款  对生活不能自理的残疾人，地方各级人民政府应当根据情况给予护理补贴。</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1.受理责任：公示法定应当提交的材料；一次性告知补正材料，依法受理或不予受理申请（不予受理的说明理由）。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3.决定责任：作出给付的行政决定，依法送达。</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《中华人民共和国残疾人保障法》第四十八条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15</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行政给付</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对特殊老年人的供养或救助</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    第三十一条第三款  对流浪乞讨、遭受遗弃等生活无着的老年人，由地方各级人民政府依照有关规定给予救助。</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1.受理责任：公示法定应当提交的材料；一次性告知补正材料，依法受理或不予受理申请（不予受理的说明理由）。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3.决定责任：作出给付的行政决定，依法送达。</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《中华人民共和国老年人权益保障法》第三十一条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16</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行政给付</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军人抚恤优待</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    《军人抚恤优待条例》第三十三条　义务兵服现役期间，其家庭由当地人民政府发给优待金或者给予其他优待，优待标准不低于当地平均生活水平。</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    第四十三条  随军的烈士遗属、因公牺牲军人遗属和病故军人遗属移交地方人民政府安置的，享受本条例和当地人民政府规定的抚恤优待。</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    第四十四条  复员军人生活困难的，按照规定的条件，由当地人民政府民政部门给予定期定量补助，逐步改善其生活条件。</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1.受理责任：公示法定应当提交的材料；一次性告知补正材料，依法受理或不予受理申请（不予受理的说明理由）。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3.决定责任：作出给付的行政决定，依法送达。</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《军人抚恤优待条例》第三十三条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退役军人服务站</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17</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行政给付</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对城市生活无着的流浪乞讨人员的救助</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1.受理责任：公示法定应当提交的材料；一次性告知补正材料，依法受理或不予受理申请（不予受理的说明理由）。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3.决定责任：作出给付的行政决定，依法送达。</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《城市生活无着的流浪乞讨人员救助管理办法实施细则》(民政部令第24号)第十八条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18</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行政给付</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独生子女入托费、入学费及医疗费等的酌情补助或减免</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    《贵州省人口和计划生育条例》第五十六条第一款第（四）项  有条件的单位、乡镇人民政府、街道办事处(社区)可以酌情补助或者减免独生子女的入托费、入学费、医疗费等。</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3.决定责任：对符合条件的依法进行办理。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《贵州省人口和计划生育条例》第五十六条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计划生育办公室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19</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行政检查</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对生产经营单位安全生产状况的监督检查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《中华人民共和国安全生产法》第八条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安监站</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20</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行政检查</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消防安全监督检查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消防法》第三十一条  在农业收获季节、森林和草原防火期间、重大节假日期间以及火灾多发季节，地方各级人民政府应当组织开展有针对性的消防宣传教育，采取防火措施，进行消防安全检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《中华人民共和国消防法》第三十一条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安监站、派出所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21</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行政检查</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草原防火监督检查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    《草原防火条例》第七条　草原防火工作涉及两个以上行政区域或者涉及森林防火、城市消防的，有关地方人民政府及有关部门应当建立联防制度，确定联防区域，制定联防措施，加强信息沟通和监督检查。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《草原防火条例》第七条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林业站</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22</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行政检查</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查验现居住地成年流动人口婚育证明</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《流动人口计划生育工作条例》第八条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计生办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23</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行政检查</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对用人单位流动人口计划生育工作的检查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《流动人口计划生育工作条例》第十五条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计生办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24</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行政检查</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对适龄儿童、少年接受义务教育情况的检查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《贵州省义务教育条例》第二十四条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九年一贯制学校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25</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行政检查</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乡镇渡口渡船安全监督检查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《内河渡口渡船安全管理规定》（交通运输部令第9号）第三十五条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派出所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26</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行政检查</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对自用船舶适航性的检查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《贵州省乡镇自用船舶安全管理办法》(省人民政府令第120号)第二十条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派出所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行政确认</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婚姻登记</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  《婚姻法》第八条  要求结婚的男女双方必须亲自到婚姻登记机关进行结婚登记。符合本法规定的，予以登记，发给结婚证。取得结婚证，即确立夫妻关系。未办理结婚登记的，应当补办登记。</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    第三十一条  男女双方自愿离婚的，准予离婚。双方必须到婚姻登记机关申请离婚。婚姻登记机关查明双方确实是自愿并对子女和财产问题已有适当处理时，发给离婚证。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《婚姻登记条例》第二条　内地居民办理婚姻登记的机关是县级人民政府民政部门或者乡(镇)人民政府，省、自治区、直辖市人民政府可以按照便民原则确定农村居民办理婚姻登记的具体机关。</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第八条　男女双方补办结婚登记的，适用本条例结婚登记的规定。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第十四条　离婚的男女双方自愿恢复夫妻关系的，应当到婚姻登记机关办理复婚登记。复婚登记适用本条例结婚登记的规定。</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2.审查责任：对相对人提交的材料进行审查，提出审查意见。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3.决定责任：在规定期限内作出书面决定（不予确认的应说明理由）。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4.送达责任：在规定期限内制作并向申请人送达法律证件。</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  《婚姻法》第八条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28</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行政确认</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对调整村民小组设置的批准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1.受理责任：公示依法应当提交的材料；一次性告知补正材料；依法受理或不予受理（不予受理应当告知理由）。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2.审查责任：根据有关法律法规规定对申请材料进行审核。</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3.决定责任：按照审核结果做出行政确认或不予以行政确认的决定，对不予行政确认的进行解释说明。</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《贵州省实施&lt;中华人民共和国村民委员会组织法&gt;办法》第十三条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社事办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29</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行政确认</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流动人口婚育证明</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1.受理责任：公示依法应当提交的材料；一次性告知补正材料；依法受理或不予受理（不予受理应当告知理由）。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2.审查责任：根据有关法律法规规定对申请材料进行审核。</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3.决定责任：按照审核结果做出行政确认或不予以行政确认的决定，对不予行政确认的进行解释说明。</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《流动人口计划生育工作条例》（国务院令第555号）第七条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计生办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30</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行政确认</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流动人口避孕节育情况证明</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1.受理责任：公示依法应当提交的材料；一次性告知补正材料；依法受理或不予受理（不予受理应当告知理由）。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2.审查责任：根据有关法律法规规定对申请材料进行审核。</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3.决定责任：按照审核结果做出行政确认或不予以行政确认的决定，对不予行政确认的进行解释说明。</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《流动人口计划生育工作条例》（国务院令第555号令）第十三条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计生办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31</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行政确认</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兵役登记</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1.组织实施责任：根据相关规定，组织实施兵役登记。依法对应当相关的材料进行审核，提出审核意见，直接作出登记决定（不予登记的应当告知理由）；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2.事后监管责任：建立实施监督检查的运行机制和管理制度，加强监管。建立档案，公开兵役登记信息；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《征兵工作条例》第十二条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人武部</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32</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行政确认</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群众购买毒性中药证明</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1.受理责任：公示依法应当提交的材料；一次性告知补正材料；依法受理或不予受理（不予受理应当告知理由）。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2.审查责任：根据《医疗用毒性药品管理办法》对购买毒性中药证明材料进行审核。</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3.决定责任：按照审核结果做出行政确认或不予以行政确认的决定，对不予行政确认的进行解释说明。</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《医疗用毒性药品管理办法》（国务院令第23号令）第十条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卫生院</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33</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行政确认</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法律援助申请人家庭经济状况证明</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《贵州省法律援助条例》第二十条  申请法律援助应当如实提交下列材料：</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（二）申请人所在村（居）民委员会或者乡（镇）人民政府、街道办事处或者工作单位出具的申请人及其家庭成员经济状况证明。</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1.受理责任：公示依法应当提交的材料；一次性告知补正材料；依法受理或不予受理（不予受理应当告知理由）。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2.审查责任：根据有关法律法规规定对申请材料进行审核。</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3.决定责任：按照审核结果做出行政确认或不予以行政确认的决定，对不予行政确认的进行解释说明。</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《贵州省法律援助条例》第二十条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司法所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34</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行政确认</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劳动者从事个体经营或灵活就业的就业登记</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    《就业服务与就业管理规定》（人力资源和社会保障部令第23号）第六十二条第二款  劳动者从事个体经营或灵活就业的，由本人在街道、乡镇公共就业服务机构办理就业登记。</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1.受理环节责任：公示依法应当提交的材料；一次性告知补正材料；依法确认或不予确认（不予确认应当告知理由）。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2.审查和决定环节责任：按照即办件程序，对依法应当提交的文件进行审核；提出审核意见，直接作出行政确认或者不予确认决定（不予认定的应当告知理由）。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3.送达环节责任：发放就业登记证。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4.事后监管责任：建立档案，公开信息；加强监管、防止弄虚作假。</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《就业服务与就业管理规定》（人力资源和社会保障部令第23号）第六十二条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人资中心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35</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行政奖励</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对在社会主义建设中做出显著成绩的残疾人，对维护残疾人合法权益、发展残疾人事业、为残疾人服务做出显著成绩的单位和个人的奖励</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1.受理责任：对申报材料进行受理。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2.审查责任:对奖励对象的材料进行审核。</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3.公示责任：对符合条件的推荐对象进行公示。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4.决定责任:按照程序报请研究审定，依法进行奖励。                       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《中华人民共和国残疾人保障法》第十三条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36</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行政奖励</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对在人口与计划生育工作中有突出成绩或者特殊贡献的组织和个人的奖励</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    《贵州省人口与计划生育条例》第八条  各级人民政府对在人口与计划生育工作中有突出成绩或者特殊贡献的组织和个人,应当给予表彰和奖励。</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 受理责任：对申报材料进行受理。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2．审查责任:对奖励对象的材料进行审核。</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 公示责任：对符合条件的推荐对象进行公示。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4．决定责任:按照程序报请研究审定，依法进行奖励。                       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 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《贵州省人口与计划生育条例》第八条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计生办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37</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行政裁决</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对个人之间、个人与单位之间土地权属争议的处理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《中华人民共和国土地管理法》第十六条第二款　单位之间的争议，由县级以上人民政府处理；个人之间、个人与单位之间的争议，由乡级人民政府或者县级以上人民政府处理。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1.受理责任：公示申请条件、法定期限、需要提供的申请书及其他资料，一次性告知补正材料。</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3.裁决责任：根据事实和法律、法规作出裁决，制作并向双方当事人送送裁决书（说明裁决的理由和依据，并告知当事人的权利救济途径）。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4.事后监管责任：监督当事人严格履行生效裁决书的有关内容。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《中华人民共和国土地管理法》第十六条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司法所，农业服务中心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38</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行政裁决</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对个人之间、个人与单位之间草原所有权、使用权争议处理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《中华人民共和国草原法》第十六条第二款   单位之间的争议，由县级以上人民政府处理；个人之间、个人与单位之间的争议，由乡（镇）人民政府或者县级以上人民政府处理。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1.受理责任：公示申请条件、法定期限、需要提供的申请书及其他资料，一次性告知补正材料。</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3.裁决责任：根据事实和法律、法规作出裁决，制作并向双方当事人送送裁决书（说明裁决的理由和依据，并告知当事人的权利救济途径）。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4.事后监管责任：监督当事人严格履行生效裁决书的有关内容。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《中华人民共和国草原法》第十六条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司法所，农业服务中心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39</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行政裁决</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对个人之间、个人与单位之间林木所有权、林地使用权争议的处理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《中华人民共和国森林法》第十七条第二款 个人之间、个人与单位之间发生的林木所有权和林地使用权争议，由当地县级或者乡级人民政府依法处理。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1.受理责任：公示申请条件、法定期限、需要提供的申请书及其他资料，一次性告知补正材料。</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3.裁决责任：根据事实和法律、法规作出裁决，制作并向双方当事人送送裁决书（说明裁决的理由和依据，并告知当事人的权利救济途径）。</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4.事后监管责任：监督当事人严格履行生效裁决书的有关内容。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《中华人民共和国森林法》第十七条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司法所，林业站</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适龄儿童、少年因身体状况需要延缓入学或者休学的批准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义务教育法》第十一条第二款  适龄儿童、少年因身体状况需要延缓入学或者休学的，其父母或者其他法定监护人应当提出申请，由当地乡镇人民政府或者县级人民政府教育行政部门批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2.审查责任：对相对人人提交的材料进行审查，提出审查意见。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3.决定责任：在规定期限内作出书面决定（不予确认的应说明理由）。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《中华人民共和国义务教育法》第十一条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九年一贯制学校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乡镇煤矿安全生产监督管理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    《乡镇煤矿管理条例》第十八条  县级、乡级人民政府应当加强对乡镇煤矿安全生产工作的监督管理，保证煤矿生产的安全。</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1.检查责任：按照法律法规、规章规定和法定程序实施监督检查，检查人员不得少于2人，并应出示行政执法证件。</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《乡镇煤矿管理条例》第十八条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安监站</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食品摊贩从事食品生产经营活动备案</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Liberation Serif" w:hAnsi="Liberation Serif" w:eastAsia="Liberation Serif" w:cs="Liberation Serif"/>
                <w:b/>
                <w:bCs/>
                <w:sz w:val="15"/>
                <w:szCs w:val="15"/>
              </w:rPr>
              <w:t>    《贵州省食品安全条例》第四十四条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3.决定责任：在规定期限内作出备案登记。</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4.监管责任：建立信息档案；公开有关信息；建立实施监督检查的运行机制和管理制度，加强监管。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《贵州省食品安全条例》第四十四条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市场监督管理分局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在乡道、村道的出入口设置限高、限宽设施</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1.调研责任：对是否需要设置限高、限宽设施进行调研。</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2.组织实施责任：对确认需设置的，组织实施。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《公路安全保护条例》第三十四条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经发办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责成有关部门改建碍航建筑物或者限期补建过船、过木、过鱼建筑物，清除淤积，恢复通航</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1.立案责任：对依据监督检查职权或者通过举报、投诉、其他部门移送、上级部门交办等途径发现的有关线索，决定是否立案。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2.调查责任：在调查或检查时，执法人员不得少于2人，并向当事人或有关人员出示证件，询问或检查应制作笔录；执法人员与有关部门直接利害关系的，应当回避。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3.审查责任：对案件的事实、收集的证据、有关部门的陈述申辩理由等进行审查，提出处理意见；对情况复杂的，行政机关的负责人应当集体讨论决定。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4.决定责任：作出责成有关部门改建碍航建筑物或者限期补建过船、过木、过鱼建筑物，清除淤积，恢复通航的决定。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5.执行责任：督促有关部门履行的行政决定，对逾期不履行的，依照有关规定处理。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《中华人民共和国航道管理条例》 第十七条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水利站</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乡镇自用船舶申请检丈、登记</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    《贵州省乡镇自用船舶安全管理办法》（省人民政府令第120号）第十二条 乡镇自用船舶的船主应当向所在地的乡（镇）人民政府申请船舶检丈、登记，并提交下列材料：</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（一）乡镇自用船舶检丈、登记申请表；</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（二）船主身份证明文件；</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（三）购置发票、建造协议或者村（居）民委员会出具的船舶合法来源证明。</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2.检丈审查责任：对船舶进行检测丈量，对申请人提交的申请材料进行审查，提出审查意见。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3.决定责任：在规定期限内予以登记或不予登记；不予登记的应告知理由，并告知相对人申请复议或提起行政诉讼的权利。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4.事后监管责任：建立信息档案；公开有关信息；建立实施监督检查的运行机制和管理制度，加强监管。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《贵州省乡镇自用船舶安全管理办法》（省人民政府令第120号）第十二条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水利站</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乡镇自用船舶登记证书签注</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    《贵州省乡镇自用船舶安全管理办法》（省人民政府令第120号）第十七条 乡（镇）人民政府对符合第十六条规定条件的人员应当在《贵州省乡镇自用船舶登记证书》上给予签注。</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3.决定责任：在规定期限内予以签注或不予签注；不予签注的应告知理由，并告知相对人申请复议或提起行政诉讼的权利。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4.事后监管责任：建立信息档案；公开有关信息；建立实施监督检查的运行机制和管理制度，加强监管。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《贵州省乡镇自用船舶安全管理办法》（省人民政府令第120号）第十七条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9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责令限期拖离不适航且无修复价值的乡镇自用船舶</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乡镇自用船舶安全管理办法》（省人民政府令第120号）第二十二条  不适航且无修复价值的乡镇自用船舶，船主应当及时将其拖离航行水域，消除事故隐患。未拖离的，由乡（镇）人民政府责令限期拖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3.审查责任：对案件的相关事实、收集的证据、办案的程序、当事人的陈述申辩理由等进行审查，提出处理意见。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4.决定责任：依法应当责令限期拖离的，制作盖有行政机关印章的行责令限期拖离决定书，载明相关事实、证据、依据、权利救济途径等内容。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5.送达责任：决定书在决定后七日内依照《民事诉讼法》的有关规定送达当事人。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6.执行责任：督促当事人履行生效的决定，对逾期不履行的，依照《中华人民共和国行政强制法》的规定执行。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7.法律法规规章文件规定应履行的其他责任。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《贵州省乡镇自用船舶安全管理办法》（省人民政府令第120号）第二十二条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乡村建设规划许可初审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在乡、村寨规划区内进行农村村民住宅建设的，应当向村民委员会提出建房申请，报乡、镇人民政府审核，城市、县人民政府城乡规划主管部门核发乡村建设规划许可证。</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3.呈报责任：在规定期限内将初步审查意见和全部申请材料报送县级人民政府城乡规划主管部门审查。      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《中华人民共和国城乡规划法》第四十一条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5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49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村民在村庄、集镇规划区内，需使用耕地修建住宅申请的审查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    《村庄和集镇规划建设管理条例》第十八条 农村村民在村庄，集镇规划区内建住宅的，应当先向村集体经济组织或者村民委员会提出建房申请，经村民会议讨论通过后，按照下列审批程序办理：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    城镇非农业户口居民在村庄、集镇规划区内需要使用集体所有的土地建住宅的，应当经其所在单位或者居民委员会同意后，依照前款第（一）项规定的审批程序办理。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回原籍村庄、集镇落户的职工、退伍军人和离休、退休干部以及回乡定居的华侨、港澳台同胞，在村庄、集镇规划区内需要使用集体所有的土地建住宅的，依照本条第一款第（一）项规定的审批程序办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3.呈报责任：在规定期限内将初步审查意见和全部申请材料直接报送县级人民政府建设行政主管部门审查。      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《村庄和集镇规划建设管理条例》第十八条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村民在村庄、集镇规划区内，使用原有宅基地、村内空闲地和其他土地修建住宅申请的批准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    《村庄和集镇规划建设管理条例》第十八条第一款农村村民在村庄，集镇规划区内建住宅的，应当先向村集体经济组织或者村民委员会提出建房申请，经村民会议讨论通过后，按照下列审批程序办理：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（二）使用原有宅基地、村内空闲地和其他土地的，由乡级人民政府根据村庄、集镇规划和土地利用规划批准。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3.决定责任：在规定期限内作出批准或不予批准的书面决定；不批准可应告知理由，并告知相对人申请复议或提起行政诉讼的权利。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4.送达责任：在规定期限内向申请人送达批准证件；建立信息档案；公开有关信息。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《村庄和集镇规划建设管理条例》第十八条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4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生育服务登记</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    《流动人口计划生育工作条例》第十六条  育龄夫妻生育第一个子女的，可以在现居住地的乡（镇）人民政府或者街道办事处办理生育服务登记。办理生育服务登记，应当提供下列证明材料：</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（一）夫妻双方的居民身份证；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（二）结婚证；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（三）女方的婚育证明和男方户籍所在地的乡（镇）人民政府或者街道办事处出具的婚育情况证明材料。</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3.决定责任：在规定期限内作出登记或不予登记的书面决定；不予登记的应告知理由。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4.送达责任：在规定期限内向申请人送达登记证明；建立信息档案；公开有关信息。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《流动人口计划生育工作条例》第十六条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计生办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病残儿医学鉴定审核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3.呈报责任：在规定期限内将初步审查意见和全部申请材料直接报送县级计划生育行政部门。      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《病残儿医学鉴定管理办法》（国家计划生育委员会令第7号）第十三条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对新生儿在医疗保健机构以外地点死亡的核查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1.核查责任：根据监护人的报告，按照有关规定进行核查。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2.处置责任：根据有关规定作出相应处置措施。并向乡镇卫生院或社区卫生服务中心通报有关信息。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《禁止非医学需要的胎儿性别鉴定和选择性别的人工终止妊娠的规定》（国家卫生和计划生育委员会令第9号）第十三条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计生办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5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对侵占、破坏学校体育场地、器材、设备的单位或者个人限期清退和修复场地、赔偿或者修复器材、设备</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3.审查责任：对案件的违法事实、收集的证据、办案的程序、法律适用、处理决定的具体内容、当事人的陈述申辩理由等进行审查，提出处理意见；对情节复杂的，行政机关的负责人应当集体讨论决定。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4.告知责任：在作出处理决定之前，应当告知当事人作出处理决定的事由、理由及依据，并告知当事人依法享有的权利；当事人依法要求听证的，应组织听证。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5.决定责任：依法应当作出相应处理决定的，制作盖有行政机关印章的行政处理决定书，载明违法事实、证据、处理决定的具体内容、权利救济途径等内容。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6.送达责任：行政处理决定书在决定后七日内依照《民事诉讼法》的有关规定送达当事人。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7.执行责任：督促当事人履行生效的行政处理决定，对逾期不履行的，依照《中华人民共和国行政强制法》的规定执行。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8.法律法规规章文件规定应履行的其他责任。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《学校体育工作条例》（国家教育委员会令第8号）第二十八条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九年一贯制学校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农村幼儿园举办、停办的登记注册</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    《幼儿园管理条例》（国家教育委员会令第4号）第十二条第二款农村幼儿园的举办、停办，由所在乡、镇人民政府登记注册，并报县人民政府教育行政部门备案。</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3.决定责任：在规定期限内予以登记或不予登记；不予登记的应告知理由，并告知相对人申请复议或提起行政诉讼的权利。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4.事后监管责任：建立信息档案；公开有关信息；建立实施监督检查的运行机制和管理制度，加强监管。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《幼儿园管理条例》（国家教育委员会令第4号）第十二条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九年一贯制学校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对业主大会、业主委员会违法违规作出决定的责令改正或者撤销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    《物业管理条例》第十九条第二款 业主大会、业主委员会作出的决定违反法律、法规的，物业所在地的区、县人民政府房地产行政主管部门或者街道办事处、乡镇人民政府，应当责令限期改正或者撤销其决定，并通告全体业主。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1.审查责任：对业主大会、业主委员会作出的决定进行审查。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2.处置责任：发现业主大会、业主委员会作出的决定违反法律、法规的，作出责令限期改正或撤销决定。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3.事后监管责任：督促业主大会、业主委员会履行生效的决定。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《物业管理条例》第十九条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村建中心、国土所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前期物业服务合同备案</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3.决定责任：在规定期限内作出备案登记。</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4.监管责任：建立信息档案；公开有关信息；建立实施监督检查的运行机制和管理制度，加强监管。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《贵州省物业管理条例》第五十条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廉租住房保障申请初审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    《廉租住房保障办法》（建设部令第162号）第十七条第一款 申请廉租住房保障，按照下列程序办理：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    （一）申请廉租住房保障的家庭，应当由户主向户口所在地街道办事处或者镇人民政府提出书面申请；</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3.呈报责任：在规定期限内将初步审查意见和全部申请材料报送县级人民政府建设（住房保障）部门审核。      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《廉租住房保障办法》（建设部令第162号）第十七条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59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村规民约备案</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    《中华人民共和国村民委员会组织法》第二十七条第一款　村民会议可以制定和修改村民自治章程、村规民约，并报乡、民族乡、镇的人民政府备案。</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3.决定责任：在规定期限内作出备案登记。</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4.监管责任：建立信息档案；公开有关信息；建立实施监督检查的运行机制和管理制度，加强监管。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《中华人民共和国村民委员会组织法》第二十七条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监督社区戒毒人员</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    《贵州省禁毒条例》第十条  城市街道办事处(社区)、乡镇人民政府负责社区戒毒、社区康复工作，指导居民委员会、村民委员会做好禁种、禁制、禁贩、禁吸毒品的教育宣传，落实禁毒防范措施。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1.检查责任：根据有关情况对社区戒毒人员情意况进行检查。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《中华人民共和国禁毒法》第三十九条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派出所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对居民住房恢复重建补助对象的审核</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3.呈报责任：在规定期限内将初步审查意见和全部申请材料直接报送县级人民政府民政等部门审批。      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《自然灾害救助条例》第二十条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对设置农村村民公益性墓地审核</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    《殡葬管理条例》第八条第三款  农村为村民设置公益性墓地，经乡级人民政府审核同意后，报县级人民政府民政部门审批。</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3.呈报责任：在规定期限内将初步审查意见和全部申请材料直接报送县级人民政府民政部门审批。      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殡葬管理条例》第八条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城乡居民申请最低生活保障待遇审核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    《社会救助暂行办法》（国务院令第649号）第四条第一款 乡镇人民政府、街道办事处负责有关社会救助的申请受理、调查审核，具体工作由社会救助经办机构或者经办人员承担。</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    第十一条第（一）项 由共同生活的家庭成员向户籍所在地的乡镇人民政府、街道办事处提出书面申请；家庭成员申请有困难的，可以委托村民委员会、居民委员会代为提出申请。</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    《城市居民最低生活保障条例》第四条第二款　县级人民政府民政部门以及街道办事处和镇人民政府（以下统称管理审批机关）负责城市居民最低生活保障的具体管理审批工作。    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2.审查责任：对申请人提交的申请材料进行审查核实，提出初步审查意见。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3.呈报责任：在规定期限内将初步审查意见和全部申请材料报送县级人民政府民政部门审批。      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《社会救助暂行办法》（国务院令第649号）第四条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特困人员供养待遇及核销的审核</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社会救助暂行办法》（国务院令第649号）第十六条  申请特困人员供养，由本人向户籍所在地的乡镇人民政府、街道办事处提出书面申请；本人申请有困难的，可以委托村民委员会、居民委员会代为提出申请。</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特困人员供养的审批程序适用本办法第十一条规定。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3.呈报责任：在规定期限内将初步审查意见和全部申请材料直接报送县级人民政府民政部门审批。      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社会救助暂行办法》（国务院令第649号）第十六条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医疗救助初审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2.审查责任：对申请人提交的申请材料进行审查，提出初步审查意见，并公示。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3.呈报责任：在规定期限内将初步审查意见和全部申请材料直接报送县级人民政府民政部门审批。      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《社会救助暂行办法》（国务院令第649号）第三十条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临时救助初审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3.呈报责任：在规定期限内将初步审查意见和全部申请材料直接报送县级人民政府民政部门审批。      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《社会救助暂行办法》（国务院令第649号）第四十八条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对五保供养服务不符合要求的责令限期改正及终止供养服务协议</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3.审查责任：对案件的违法事实、收集的证据、办案的程序、当事人的陈述申辩理由等进行审查，提出处理意见；对情节复杂的，行政机关的负责人应当集体讨论决定。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《农村五保供养工作条例》第二十四条 </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对五保对象入农村敬老院的批准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    《农村敬老院管理暂行办法》（民政部令第1号）第八条第一款  五保对象入敬老院须由本人提出申请，经乡镇人民政府（村办敬老院经村民委员会）批准，并由本人和敬老院双方签定入院协议。</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3.决定责任：在规定期限内作出批准或不予批准的书面决定；不予批准应告知理由，并告知相对人申请复议或提起行政诉讼的权利。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4.送达责任：在规定期限内向申请人送达批准的证明；建立信息档案；公开有关信息。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《农村敬老院管理暂行办法》（民政部令第1号）第八条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69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伤残抚恤对象残疾等级评定的审核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2.审查责任：对申请人提交的申请材料进行审查，审核要求调整和评定残疾等级人员档案材料，核对伤残信息等；提出初审意见。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3.呈报责任：乡镇人民政府审查评定残疾等级申请后出具书面意见，连同本人档案材料、书面申请和本人近期二寸免冠彩色照片等一并报送户籍所在地的县级人民政府民政部门审查。      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《伤残抚恤管理办法》（民政部令第50号） 第五条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受理进入光荣院集中供养的申请</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2..审查责任：审核申请人有关材料，对符合条件的，登记其个人信息，收取必需材料，上报光荣院主管部门审核批准；对不符合条件的及时说明原因。</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3.事后监管责任：建立实施监督检查的运行机制和管理制度，加强监管。建立信息档案；公开有关信息。</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《光荣院管理办法》（民政部令第40号） 第八条 </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7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Liberation Serif" w:hAnsi="Liberation Serif" w:eastAsia="Liberation Serif" w:cs="Liberation Serif"/>
                <w:b/>
                <w:bCs/>
                <w:sz w:val="15"/>
                <w:szCs w:val="15"/>
              </w:rPr>
              <w:t>自然灾害救助款物的发放审核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r>
              <w:rPr>
                <w:rFonts w:hint="default" w:ascii="Liberation Serif" w:hAnsi="Liberation Serif" w:eastAsia="Liberation Serif" w:cs="Liberation Serif"/>
                <w:b/>
                <w:bCs/>
                <w:sz w:val="15"/>
                <w:szCs w:val="15"/>
              </w:rPr>
              <w:br w:type="textWrapping"/>
            </w:r>
            <w:r>
              <w:rPr>
                <w:sz w:val="24"/>
                <w:szCs w:val="24"/>
              </w:rPr>
              <w:t>    </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3.呈报责任：在规定期限内将初步审查意见和全部申请材料直接报送县级人民政府民政部门。      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《贵州省自然灾害救助款物管理办法》（省人民政府令第103号）第十六条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为应对突发事件征用单位和个人的财产</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1.作出征用决定责任：根据应对突发事件的需要，作出征用决定。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2.返还或补偿责任：使用完毕或处置工作结束后及时返还或补偿。</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《中华人民共和国突发事件应对法》第十二条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执行民间纠纷案处理决定决定</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    《中华人民共和国突发事件应对法》第二十一条 县级人民政府及其有关部门、乡级人民政府、街道办事处、居民委员会、村民委员会应当及时调解处理可能引发社会安全事件的矛盾纠纷。</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1.矛盾纠纷排查责任：定期或不定期排查相关矛盾纠纷。</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2.调查处理责任：调查有关事实，听取矛盾纠纷各该当事人的陈述和申辩；进行调解；达不成调解协议的，依据法律和政策作出处理决定。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3.告知责任：告知当事人在乡镇政府做出纠纷处理决定后其权利和义务；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3.执行责任：督促当事人履行生行政处理决定，对逾期不履行的，依照有关规定执行。</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《中华人民共和国突发事件应对法》第二十一条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《民间纠纷处理办法》第二十一条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综治办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对土地承包经营期限内，承包经营者之间承包土地进行调整的批准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3.转送责任：在规定期限内将审查意见和全部申请材料报送县级人民政府农业行政主管部门批准。      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《中华人民共和国土地管理法》第十四条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采取措施实施土地整理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    《中华人民共和国土地管理法》第三十五条  各级人民政府应当采取措施，维护排灌工程设施，改良土壤，提高地力，防止土地荒漠化、盐渍化、水土流失和污染土地。</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    《中华人民共和国土地管理法实施条例》第十八条  县、乡（镇）人民政府应当按照土地利用总体规划，组织农村集体经济组织制定土地整理方案，并组织实施。</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1.拟定整理方案责任：开展调研，拟定整理方案。</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2.公示整理方案责任：公示整理方案，征求意见。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3.审查决定责任：对整理方案进行审查，经集体讨论作出整理决定。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4.组织实施责任：按方案组织实施。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5.验收责任：根据方案规定的整理标准进行验收。</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6.法律法规规章文件规定应履行的其他责任。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《中华人民共和国土地管理法》第三十五条、第四十一条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《中华人民共和国土地管理法实施条例》第十八条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国土所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对乡(镇)村公共设施、公益事业建设用地的审核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3.呈报责任：在规定期限内将初步审查意见和全部申请材料报送县级人民政府土地行政主管部门。      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《中华人民共和国土地管理法》 第六十一条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村建中心、国土所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农村居民住宅用地审核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    《中华人民共和国土地管理法》第六十二条  农村村民一户只能拥有一处宅基地，其宅基地的面积不得超过省、自治区、直辖市规定的标准。</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    农村村民建住宅，应当符合乡（镇）土地利用总体规划，并尽量使用原有的宅基地和村内空闲地。</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    农村村民住宅用地，经乡（镇）人民政府审核，由县级人民政府批准；其中，涉及占用农用地的，依照本法第四十四条的规定办理审批手续。</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    农村村民出卖、出租住房后，再申请宅基地的，不予批准。</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2.审查责任：对申请人提交的申请材料进行审查，提出初审意见。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3.呈报责任：在规定期限内将审核意见和全部申请材料报送县级人民政府批准。      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《中华人民共和国土地管理法》第六十二条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国土所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对在村庄、集镇规划区内，违法占地的，责令退回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《村庄和集镇规划建设管理条例》第三十六条  在村庄、集镇规划区内，未按规划审批程序批准而取得建设用地批准文件，占用土地的批准文件无效，占用的土地由乡级以上人民政府责令退回。</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1.检查责任：按照法律法规、规章规定和法定程序实施检查，检查人员不得少于2人。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《村庄和集镇规划建设管理条例》第三十六条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村建中心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79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对农产品生产活动的指导、监管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《贵州省农产品质量安全条例》第五条第三款：“乡、镇人民政府应当加强对本行政区域内农产品生产活动的指导、监督, 落实农产品质量安全管理责任。”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1.检查责任：按照法律法规、规章规定和法定程序实施检查，检查人员不得少于2人，并应出示行政执法证件。</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2.处置责任：根据有关规定作出相应处置措施。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3.事后监管责任：对监测检查情况进行汇总、分类、归档被查，并跟踪监测。</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《贵州省农产品质量安全条例》第五条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对实行家庭承包方式的农村土地承包经营权颁证的审核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    《中华人民共和国农村土地承包经营权证管理办法》（农业部令第33号）第七条  实行家庭承包的，按下列程序颁发农村土地承包经营权证： 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（一）土地承包合同生效后，发包方应在30个工作日内，将土地承包方案、承包方及承包土地的详细情况、土地承包合同等材料一式两份报乡（镇）人民政府农村经营管理部门。 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2.审查责任：对申请人提交的申请材料进行审查，提出初审意见。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3.呈报责任：在规定期限内将初审意见和全部申请材料报送县级人民政府农业行政主管部门审核。      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《中华人民共和国农村土地承包经营权证管理办法》（农业部令第33号）第七条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对以招标、拍卖、公开协商等方式承包农村土地办理农村土地承包经营权证的初审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    《中华人民共和国农村土地承包经营权证管理办法》（农业部令第33号）第八条  实行招标、拍卖、公开协商等方式承包农村土地的，按下列程序办理农村土地承包经营权证： 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（一）土地承包合同生效后，承包方填写农村土地承包经营权证登记申请书，报承包土地所在乡（镇）人民政府农村经营管理部门。 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（二）乡（镇）人民政府农村经营管理部门对发包方和承包方的资格、发包程序、承包期限、承包地用途等予以初审，并在农村土地承包经营权证登记申请书上签署初审意见。 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（三）承包方持乡（镇）人民政府初审通过的农村土地承包经营权登记申请书，向县级以上地方人民政府申请农村土地承包经营权证登记。 </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2.审查责任：对申请人提交的申请材料进行审查，提出初步审查意见，未通过审查应告知理由，并告知相对人申请复议或提起行政诉讼的权利。</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《中华人民共和国农村土地承包经营权证管理办法》（农业部令第33号）第八条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换发、补发农村土地承包经营权证的审核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3.转送责任：在规定期限内将审查意见和全部申请材料报送原发证机关办理换发、补发手续。      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《中华人民共和国农村土地承包经营权证管理办法》（农业部令第33号）第十七条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土地承包经营权流转合同备案</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《农村土地承包经营权流转管理办法》（农业部令第47号）第二十一条第二款 农村土地承包经营权流转合同一式四份，流转双方各执一份，发包方和乡(镇)人民政府农村土地承包管理部门各备案一份。</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3.决定责任：在规定期限内作出备案登记。</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4.监管责任：建立信息档案；公开有关信息；建立实施监督检查的运行机制和管理制度，加强监管。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《农村土地承包经营权流转管理办法》（农业部令第47号）第二十一条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组织开展动物疫病强制免疫</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    《中华人民共和国动物防疫法》第六条 乡级人民政府、城市街道办事处应当组织群众协助做好本管辖区域内的动物疫病预防与控制工作。</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第十四条 乡级人民政府、城市街道办事处应当组织本管辖区域内饲养动物的单位和个人做好强制免疫工作。 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    第六十三条 县级人民政府和乡级人民政府应当采取有效措施，加强村级防疫员队伍建设。</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  县级人民政府兽医主管部门可以根据动物防疫工作需要，向乡、镇或者特定区域派驻兽医机构。</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1.通告催告责任：当需要组织本管辖区域内饲养动物的单位和个人开展强制免疫工作时下达催告通知书，催告履行义务以及履行义务的期限、方式和催告对象依法享有的陈述权和申辩权；</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2.组织本管辖区域内饲养动物的单位和个人做好强制免疫工作；做好预防控制措施；及时上报县动物卫生部门疫情以及控制情况；</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3.现场检查动物疾病强制免疫情况；</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《中华人民共和国动物防疫法》第六条、第六十三条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农业服务中心</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捕杀狂犬、野犬</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    《中华人民共和国传染病防治法实施办法》（卫生部令第17号）第二十九条第（三）项  乡（镇）政府负责辖区内养犬的管理，捕杀狂犬、野犬。</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1.建立队伍责任：组建应急队伍，制定应急方案，并在辖区内加大宣传力度，公开联系方式。</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2.组织实施捕杀责任：收到有狂犬、野犬信息后，立即组织人员，并联系当地公安派出机关；及时赶赴事发地对狂犬、野犬进行捕杀；</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3.善后责任：加大受伤人员的紧急医治工作；对被捕杀的狂犬、野犬进行妥善处置。</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4.报告责任：如出现狂犬、野犬较多的情况，及时上报县级政府动物卫生部门。</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《中华人民共和国传染病防治法实施办法》第二十九条第（三）项</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派出所、执法大队</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对危害文物保护单位安全、破坏文物保护单位历史风貌的建筑物、构筑物的拆迁</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    《中华人民共和国文物保护法》第二十六条第二款 对危害文物保护单位安全、破坏文物保护单位历史风貌的建筑物、构筑物，当地人民政府应当及时调查处理，必要时，对该建筑物、构筑物予以拆迁。</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1.调查研究责任：对可能危害文物保护单位安全、破坏文物保护单位历史风貌的建筑物、构筑物进行调查。</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2.决定责任：对危害文物保护单位安全、破坏文物保护单位历史风貌的建筑物、构筑物作出处理决定。</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3.组织实施责任：根据处理决定组织实施。</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《文物保护法》第二十六条第二款</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社会事务管理办公室</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设立乡村集体所有制企业的审核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2.审查责任：对申请人提交的申请材料进行审查，提出初步审查意见。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3.呈报责任：在规定期限内将初步审查意见和全部申请材料报送县级人民政府乡镇企业主管部门以及法律、法规规定的有关部门批准。      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《中华人民共和国乡村集体所有制企业条例》第十四条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市场监督管理分局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 w:hAnsi="仿宋" w:eastAsia="仿宋" w:cs="仿宋"/>
                <w:b/>
                <w:bCs/>
                <w:sz w:val="15"/>
                <w:szCs w:val="15"/>
              </w:rPr>
              <w:t>88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耕地占用税免征或者减征审核</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   《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2.审查责任：对申请人提交的申请材料进行审查，提出初审意见。</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3.呈报责任：在规定期限内将审核意见和全部申请材料报送县级人民政府批准。      </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4.事后监管责任：建立实施监督检查的运行机制和管理制度，加强监管。</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《中华人民共和国耕地占用税暂行条例》第十条</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Liberation Serif" w:hAnsi="Liberation Serif" w:eastAsia="Liberation Serif" w:cs="Liberation Serif"/>
                <w:b/>
                <w:bCs/>
                <w:sz w:val="15"/>
                <w:szCs w:val="15"/>
              </w:rPr>
              <w:t>国土所</w:t>
            </w:r>
          </w:p>
        </w:tc>
        <w:tc>
          <w:tcPr>
            <w:tcW w:w="0" w:type="auto"/>
            <w:tcBorders>
              <w:top w:val="nil"/>
              <w:left w:val="nil"/>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default" w:ascii="Liberation Serif" w:hAnsi="Liberation Serif" w:eastAsia="Liberation Serif" w:cs="Liberation Serif"/>
                <w:b/>
                <w:bCs/>
                <w:sz w:val="15"/>
                <w:szCs w:val="15"/>
              </w:rPr>
              <w:t>乡（镇）法定代表人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分管负责人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承办机构负责人</w:t>
            </w:r>
            <w:r>
              <w:rPr>
                <w:rFonts w:hint="default" w:ascii="Liberation Serif" w:hAnsi="Liberation Serif" w:eastAsia="Liberation Serif" w:cs="Liberation Serif"/>
                <w:b/>
                <w:bCs/>
                <w:sz w:val="15"/>
                <w:szCs w:val="15"/>
              </w:rPr>
              <w:br w:type="textWrapping"/>
            </w:r>
            <w:r>
              <w:rPr>
                <w:rFonts w:hint="default" w:ascii="Liberation Serif" w:hAnsi="Liberation Serif" w:eastAsia="Liberation Serif" w:cs="Liberation Serif"/>
                <w:b/>
                <w:bCs/>
                <w:sz w:val="15"/>
                <w:szCs w:val="15"/>
              </w:rPr>
              <w:t>具体承办人</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仿宋" w:hAnsi="仿宋" w:eastAsia="仿宋" w:cs="仿宋"/>
                <w:b/>
                <w:bCs/>
                <w:spacing w:val="0"/>
                <w:sz w:val="15"/>
                <w:szCs w:val="15"/>
              </w:rPr>
              <w:t>89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default" w:ascii="Liberation Serif" w:hAnsi="Liberation Serif" w:eastAsia="Liberation Serif" w:cs="Liberation Serif"/>
                <w:b/>
                <w:bCs/>
                <w:spacing w:val="0"/>
                <w:sz w:val="15"/>
                <w:szCs w:val="15"/>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4"/>
                <w:szCs w:val="24"/>
              </w:rPr>
            </w:pPr>
            <w:r>
              <w:rPr>
                <w:rFonts w:hint="default" w:ascii="Liberation Serif" w:hAnsi="Liberation Serif" w:eastAsia="Liberation Serif" w:cs="Liberation Serif"/>
                <w:b/>
                <w:bCs/>
                <w:spacing w:val="0"/>
                <w:sz w:val="15"/>
                <w:szCs w:val="15"/>
              </w:rPr>
              <w:t>设立健身气功站点的审核</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4"/>
                <w:szCs w:val="24"/>
              </w:rPr>
            </w:pPr>
            <w:r>
              <w:rPr>
                <w:rFonts w:hint="default" w:ascii="Liberation Serif" w:hAnsi="Liberation Serif" w:eastAsia="Liberation Serif" w:cs="Liberation Serif"/>
                <w:b/>
                <w:bCs/>
                <w:spacing w:val="0"/>
                <w:sz w:val="15"/>
                <w:szCs w:val="15"/>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4"/>
                <w:szCs w:val="24"/>
              </w:rPr>
            </w:pPr>
            <w:r>
              <w:rPr>
                <w:rFonts w:hint="default" w:ascii="Liberation Serif" w:hAnsi="Liberation Serif" w:eastAsia="Liberation Serif" w:cs="Liberation Serif"/>
                <w:b/>
                <w:bCs/>
                <w:spacing w:val="0"/>
                <w:sz w:val="15"/>
                <w:szCs w:val="15"/>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spacing w:val="0"/>
                <w:sz w:val="15"/>
                <w:szCs w:val="15"/>
              </w:rPr>
              <w:br w:type="textWrapping"/>
            </w:r>
            <w:r>
              <w:rPr>
                <w:rFonts w:hint="default" w:ascii="Liberation Serif" w:hAnsi="Liberation Serif" w:eastAsia="Liberation Serif" w:cs="Liberation Serif"/>
                <w:b/>
                <w:bCs/>
                <w:spacing w:val="0"/>
                <w:sz w:val="15"/>
                <w:szCs w:val="15"/>
              </w:rPr>
              <w:t>2.审查责任：对申请人提交的申请材料进行审查，提出初步审查意见。</w:t>
            </w:r>
            <w:r>
              <w:rPr>
                <w:rFonts w:hint="default" w:ascii="Liberation Serif" w:hAnsi="Liberation Serif" w:eastAsia="Liberation Serif" w:cs="Liberation Serif"/>
                <w:b/>
                <w:bCs/>
                <w:spacing w:val="0"/>
                <w:sz w:val="15"/>
                <w:szCs w:val="15"/>
              </w:rPr>
              <w:br w:type="textWrapping"/>
            </w:r>
            <w:r>
              <w:rPr>
                <w:rFonts w:hint="default" w:ascii="Liberation Serif" w:hAnsi="Liberation Serif" w:eastAsia="Liberation Serif" w:cs="Liberation Serif"/>
                <w:b/>
                <w:bCs/>
                <w:spacing w:val="0"/>
                <w:sz w:val="15"/>
                <w:szCs w:val="15"/>
              </w:rPr>
              <w:t>3.呈报责任：在规定期限内将初步审查意见和全部申请材料报送当地具有相应管辖权限的体育行政部门审批。      </w:t>
            </w:r>
            <w:r>
              <w:rPr>
                <w:rFonts w:hint="default" w:ascii="Liberation Serif" w:hAnsi="Liberation Serif" w:eastAsia="Liberation Serif" w:cs="Liberation Serif"/>
                <w:b/>
                <w:bCs/>
                <w:spacing w:val="0"/>
                <w:sz w:val="15"/>
                <w:szCs w:val="15"/>
              </w:rPr>
              <w:br w:type="textWrapping"/>
            </w:r>
            <w:r>
              <w:rPr>
                <w:rFonts w:hint="default" w:ascii="Liberation Serif" w:hAnsi="Liberation Serif" w:eastAsia="Liberation Serif" w:cs="Liberation Serif"/>
                <w:b/>
                <w:bCs/>
                <w:spacing w:val="0"/>
                <w:sz w:val="15"/>
                <w:szCs w:val="15"/>
              </w:rPr>
              <w:t>4.事后监管责任：建立实施监督检查的运行机制和管理制度，加强监管。</w:t>
            </w:r>
            <w:r>
              <w:rPr>
                <w:rFonts w:hint="default" w:ascii="Liberation Serif" w:hAnsi="Liberation Serif" w:eastAsia="Liberation Serif" w:cs="Liberation Serif"/>
                <w:b/>
                <w:bCs/>
                <w:spacing w:val="0"/>
                <w:sz w:val="15"/>
                <w:szCs w:val="15"/>
              </w:rPr>
              <w:br w:type="textWrapping"/>
            </w:r>
            <w:r>
              <w:rPr>
                <w:rFonts w:hint="default" w:ascii="Liberation Serif" w:hAnsi="Liberation Serif" w:eastAsia="Liberation Serif" w:cs="Liberation Serif"/>
                <w:b/>
                <w:bCs/>
                <w:spacing w:val="0"/>
                <w:sz w:val="15"/>
                <w:szCs w:val="15"/>
              </w:rPr>
              <w:t>5.法律法规规章文件规定应履行的其他责任。</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4"/>
                <w:szCs w:val="24"/>
              </w:rPr>
            </w:pPr>
            <w:r>
              <w:rPr>
                <w:rFonts w:hint="default" w:ascii="Liberation Serif" w:hAnsi="Liberation Serif" w:eastAsia="Liberation Serif" w:cs="Liberation Serif"/>
                <w:b/>
                <w:bCs/>
                <w:spacing w:val="0"/>
                <w:sz w:val="15"/>
                <w:szCs w:val="15"/>
              </w:rPr>
              <w:t>《健身气功管理办法》（国家体育总局令第9号）第十七条</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default" w:ascii="Liberation Serif" w:hAnsi="Liberation Serif" w:eastAsia="Liberation Serif" w:cs="Liberation Serif"/>
                <w:b/>
                <w:bCs/>
                <w:spacing w:val="0"/>
                <w:sz w:val="15"/>
                <w:szCs w:val="15"/>
              </w:rPr>
              <w:t>文广站</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sz w:val="24"/>
                <w:szCs w:val="24"/>
              </w:rPr>
            </w:pPr>
            <w:r>
              <w:rPr>
                <w:rFonts w:hint="default" w:ascii="Liberation Serif" w:hAnsi="Liberation Serif" w:eastAsia="Liberation Serif" w:cs="Liberation Serif"/>
                <w:b/>
                <w:bCs/>
                <w:spacing w:val="0"/>
                <w:sz w:val="15"/>
                <w:szCs w:val="15"/>
              </w:rPr>
              <w:t>乡（镇）法定代表人</w:t>
            </w:r>
            <w:r>
              <w:rPr>
                <w:rFonts w:hint="default" w:ascii="Liberation Serif" w:hAnsi="Liberation Serif" w:eastAsia="Liberation Serif" w:cs="Liberation Serif"/>
                <w:b/>
                <w:bCs/>
                <w:spacing w:val="0"/>
                <w:sz w:val="15"/>
                <w:szCs w:val="15"/>
              </w:rPr>
              <w:br w:type="textWrapping"/>
            </w:r>
            <w:r>
              <w:rPr>
                <w:rFonts w:hint="default" w:ascii="Liberation Serif" w:hAnsi="Liberation Serif" w:eastAsia="Liberation Serif" w:cs="Liberation Serif"/>
                <w:b/>
                <w:bCs/>
                <w:spacing w:val="0"/>
                <w:sz w:val="15"/>
                <w:szCs w:val="15"/>
              </w:rPr>
              <w:t>分管负责人</w:t>
            </w:r>
            <w:r>
              <w:rPr>
                <w:rFonts w:hint="default" w:ascii="Liberation Serif" w:hAnsi="Liberation Serif" w:eastAsia="Liberation Serif" w:cs="Liberation Serif"/>
                <w:b/>
                <w:bCs/>
                <w:spacing w:val="0"/>
                <w:sz w:val="15"/>
                <w:szCs w:val="15"/>
              </w:rPr>
              <w:br w:type="textWrapping"/>
            </w:r>
            <w:r>
              <w:rPr>
                <w:rFonts w:hint="default" w:ascii="Liberation Serif" w:hAnsi="Liberation Serif" w:eastAsia="Liberation Serif" w:cs="Liberation Serif"/>
                <w:b/>
                <w:bCs/>
                <w:spacing w:val="0"/>
                <w:sz w:val="15"/>
                <w:szCs w:val="15"/>
              </w:rPr>
              <w:t>承办机构负责人</w:t>
            </w:r>
            <w:r>
              <w:rPr>
                <w:rFonts w:hint="default" w:ascii="Liberation Serif" w:hAnsi="Liberation Serif" w:eastAsia="Liberation Serif" w:cs="Liberation Serif"/>
                <w:b/>
                <w:bCs/>
                <w:spacing w:val="0"/>
                <w:sz w:val="15"/>
                <w:szCs w:val="15"/>
              </w:rPr>
              <w:br w:type="textWrapping"/>
            </w:r>
            <w:r>
              <w:rPr>
                <w:rFonts w:hint="default" w:ascii="Liberation Serif" w:hAnsi="Liberation Serif" w:eastAsia="Liberation Serif" w:cs="Liberation Serif"/>
                <w:b/>
                <w:bCs/>
                <w:spacing w:val="0"/>
                <w:sz w:val="15"/>
                <w:szCs w:val="15"/>
              </w:rPr>
              <w:t>具体承办人</w:t>
            </w:r>
          </w:p>
        </w:tc>
        <w:tc>
          <w:tcPr>
            <w:tcW w:w="0" w:type="auto"/>
            <w:tcBorders>
              <w:top w:val="outset" w:color="auto" w:sz="6" w:space="0"/>
              <w:left w:val="nil"/>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bl>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Liberation 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92cf5e66-950b-41d2-b4d7-898633bd85f3"/>
  </w:docVars>
  <w:rsids>
    <w:rsidRoot w:val="1F0F7E25"/>
    <w:rsid w:val="1C6004E6"/>
    <w:rsid w:val="1F0F7E25"/>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39534</Words>
  <Characters>40749</Characters>
  <Lines>0</Lines>
  <Paragraphs>0</Paragraphs>
  <TotalTime>0</TotalTime>
  <ScaleCrop>false</ScaleCrop>
  <LinksUpToDate>false</LinksUpToDate>
  <CharactersWithSpaces>40871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2024-01-05T03:25:00Z</dcterms:created>
  <dc:creator>17785269434</dc:creator>
  <cp:lastModifiedBy>17785269434</cp:lastModifiedBy>
  <dcterms:modified xsi:type="dcterms:W3CDTF">2024-01-05T06:34:21Z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AB0607ECE967490CBBE490B96C93531A_11</vt:lpwstr>
  </property>
</Properties>
</file>