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方正小标宋简体" w:hAnsi="方正小标宋简体" w:eastAsia="方正小标宋简体" w:cs="方正小标宋简体"/>
          <w:sz w:val="44"/>
          <w:szCs w:val="44"/>
        </w:rPr>
        <w:t>坪乐镇人民政府权责清单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w:t>
      </w:r>
      <w:bookmarkEnd w:id="0"/>
    </w:p>
    <w:tbl>
      <w:tblPr>
        <w:tblStyle w:val="5"/>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0"/>
        <w:gridCol w:w="286"/>
        <w:gridCol w:w="529"/>
        <w:gridCol w:w="2825"/>
        <w:gridCol w:w="2860"/>
        <w:gridCol w:w="792"/>
        <w:gridCol w:w="519"/>
        <w:gridCol w:w="5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6260"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《中华人民共和国土地管理法》（第三十二号主席令）第六十三条第二款规定 前款规定的集体经营性建设用地出让、出租等，应当经本集体经济组织成员的村民会议三分之二以上成员或者三分之二以上村民代表的同意。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9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在村庄、集镇规划区修建临时建筑物、构筑物和其他设施的许可</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对损坏村庄和集镇的房屋、公共设施的行政处罚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供电所、安监站、派出所、综合执法分局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供电所、安监站、派出所、综合执法分局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《中华人民共和国消防法》（2021年修订）第三十一条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派出所、安监站、执法分局、林业站、各村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派出所、安监站、执法分局、林业站、各村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《中华人民共和国民法典》第一千零四十九条 要求结婚的男女双方应当亲自到婚姻登记机关申请结婚登记。符合本法规定的，予以登记，发给结婚证。完成结婚登记，即确立婚姻关系。未办理结婚登记的，应当补办登记。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第一千零七十八条 婚姻登记机关查明双方确实是自愿离婚，并已经对子女抚养、财产以及债务处理等事项协商一致的，予以登记，发给离婚证。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第十四条　离婚的男女双方自愿恢复夫妻关系的，应当到婚姻登记机关办理复婚登记。复婚登记适用本条例结婚登记的规定。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《婚姻法》第八条 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武装部</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武装部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剂量。</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《贵州省法律援助条例》（2019年修正）第二十条 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《就业服务与就业管理规定》（2018年修改）第六十二条第二款  劳动者从事个体经营或灵活就业的，由本人在街道、乡镇公共就业服务机构办理就业登记。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《中华人民共和国土地管理法》（第三十二号主席令）第十四条第二款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3.裁决责任：根据事实和法律、法规作出裁决，制作并向双方当事人送达裁决书（说明裁决的理由和依据，并告知当事人的权利救济途径）。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3.裁决责任：根据事实和法律、法规作出裁决，制作并向双方当事人送达裁决书（说明裁决的理由和依据，并告知当事人的权利救济途径）。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《中华人民共和国森林法》（2019年修订）第二十二条第二款 个人之间、个人与单位之间发生的林木所有权和林地使用权争议，由乡镇人民政府或者县级以上人民政府依法处理。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3.裁决责任：根据事实和法律、法规作出裁决，制作并向双方当事人送达裁决书（说明裁决的理由和依据，并告知当事人的权利救济途径）。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乡镇煤矿安全生产监督管理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《乡镇煤矿管理条例》（2013年修正）第十八条  县级、乡级人民政府应当加强对乡镇煤矿安全生产工作的监督管理，保证煤矿生产的安全。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市监分局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市监分局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村民在村庄、集镇规划区内，需使用耕地修建住宅申请的审查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回原籍村庄、集镇落户的职工、退伍军人和离休、退休干部以及回乡定居的华侨、港澳台同胞，在村庄、集镇规划区内需要使用集体所有的土地建住宅的，依照本条第一款第</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《学校体育工作条例》（2017年修正）第二十八条 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党政办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党政办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《中华人民共和国村民委员会组织法》（2018年修正）第二十七条第一款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《中华人民共和国禁毒法》（2008年）第三十九条第二款 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社区)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村建中心、社事办、安监站、各村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村建中心、社事办、安监站、各村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《伤残抚恤管理办法》（2019年修订）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没有工作单位的或者以原致残部位申请评定残疾等级的，可以直接向户籍地县级人民政府退役军人事务部门提出申请。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第七条申请人申请评定残疾等级，应当提供以下真实确切材料：书面申请，身份证或者居民户口簿复印件，退役军人证（退役军人登记表）、人民警察证等证件复印件，本人近期二寸免冠彩色照片。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《光荣院管理办法》（退役军人事务部令第3号） 第八条  申请享受光荣院集中供养、优惠服务，应当由本人向户籍地村（社区）退役军人服务站提出申请，或者由其居民委员会（村民委员会）向乡镇（街道）退役军人服务站代为提出申请。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退役军人服务站应当在10个工作日内将申请材料报光荣院，光荣院初审后及时报其主管部门审核批准。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光荣院根据其主管部门下达的计划和任务安排集中供养、优惠服务对象入院，并根据实际情况接收优待服务对象。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 光荣院管理办法》（退役军人事务部令第3号） 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《中华人民共和国农村土地承包法》（2019年修正）第二十七条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《中华人民共和国土地管理法》第三十六条　各级人民政府应当采取措施，引导因地制宜轮作休耕，改良土壤，提高地力，维护排灌工程设施，防止土地荒漠化、盐渍化、水土流失和土壤污染。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第四十二条　国家鼓励土地整理。县、乡（镇）人民政府应当组织农村集体经济组织，按照土地利用总体规划，对田、水、路、林、村综合整治，提高耕地质量，增加有效耕地面积，改善农业生产条件和生态环境。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《中华人民共和国土地管理法实施条例》第十八条  县、乡（镇）人民政府应当按照土地利用总体规划，组织农村集体经济组织制定土地整理方案，并组织实施。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对乡(镇)村公共设施、公益事业建设用地的审核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农村村民建住宅，应当符合乡（镇）土地利用总体规划，并尽量使用原有宅基地和村内空闲地。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对在村庄、集镇规划区内，违法占地的，责令退回</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《贵州省农产品质量安全条例》（2017年修正）第五条第三款：“乡、镇人民政府应当加强对本行政区域内农产品生产活动的指导、监督,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（二）乡（镇）人民政府农村经营管理部门对发包方和承包方的资格、发包程序、承包期限、承包土地用途等予以初审，并在农村土地承包经营权证登记申请书上签署初审意见。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《中华人民共和国动物防疫法》（2021年修订）第八条第二款 乡级人民政府、街道办事处组织群众做好本辖区的动物疫病预防与控制工作，村民委员会、居民委员会予以协助。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第十八条第二款 乡级人民政府、街道办事处组织本辖区饲养动物的单位和个人做好强制免疫，协助做好监督检查；村民委员会、居民委员会协助做好相关工作。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第八十一条　县级人民政府应当为动物卫生监督机构配备与动物、动物产品检疫工作相适应的官方兽医，保障检疫工作条件。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县级人民政府农业农村主管部门可以根据动物防疫工作需要，向乡、镇或者特定区域派驻兽医机构或者工作人员。</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《中华人民共和国动物防疫法》第八条、第十八条、第八十一条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文化服务中心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文化服务中心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r>
    </w:tbl>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right="136"/>
        <w:jc w:val="left"/>
        <w:rPr>
          <w:rFonts w:hint="eastAsia" w:ascii="微软雅黑" w:hAnsi="微软雅黑" w:eastAsia="微软雅黑" w:cs="微软雅黑"/>
          <w:i w:val="0"/>
          <w:iCs w:val="0"/>
          <w:caps w:val="0"/>
          <w:color w:val="4B4B4B"/>
          <w:spacing w:val="0"/>
          <w:sz w:val="18"/>
          <w:szCs w:val="18"/>
        </w:rPr>
      </w:pPr>
    </w:p>
    <w:p>
      <w:pPr>
        <w:pStyle w:val="8"/>
      </w:pPr>
      <w:r>
        <w:t>窗体底端</w:t>
      </w: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910e0260-e60a-433e-b677-ef7b42c3710a"/>
  </w:docVars>
  <w:rsids>
    <w:rsidRoot w:val="1E140E80"/>
    <w:rsid w:val="1E140E80"/>
    <w:rsid w:val="3073246D"/>
    <w:rsid w:val="3B10142E"/>
    <w:rsid w:val="46290DB7"/>
    <w:rsid w:val="712F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34044</Words>
  <Characters>35073</Characters>
  <Lines>0</Lines>
  <Paragraphs>0</Paragraphs>
  <TotalTime>0</TotalTime>
  <ScaleCrop>false</ScaleCrop>
  <LinksUpToDate>false</LinksUpToDate>
  <CharactersWithSpaces>35315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2024-01-05T04:26:00Z</dcterms:created>
  <dc:creator>17785269434</dc:creator>
  <cp:lastModifiedBy>17785269434</cp:lastModifiedBy>
  <dcterms:modified xsi:type="dcterms:W3CDTF">2024-01-05T06:33:49Z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30C715CDA6D4498886A61FE23596489A_11</vt:lpwstr>
  </property>
</Properties>
</file>