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黑体" w:eastAsia="方正小标宋简体" w:cs="黑体"/>
          <w:sz w:val="44"/>
          <w:szCs w:val="44"/>
        </w:rPr>
      </w:pPr>
    </w:p>
    <w:p>
      <w:pPr>
        <w:spacing w:line="600" w:lineRule="exact"/>
        <w:ind w:firstLine="1760" w:firstLineChars="400"/>
        <w:rPr>
          <w:rFonts w:ascii="方正小标宋简体" w:hAnsi="黑体" w:eastAsia="方正小标宋简体" w:cs="黑体"/>
          <w:sz w:val="44"/>
          <w:szCs w:val="44"/>
        </w:rPr>
      </w:pPr>
    </w:p>
    <w:p>
      <w:pPr>
        <w:spacing w:line="600" w:lineRule="exact"/>
        <w:ind w:firstLine="1760" w:firstLineChars="400"/>
        <w:rPr>
          <w:rFonts w:ascii="方正小标宋简体" w:hAnsi="黑体" w:eastAsia="方正小标宋简体" w:cs="黑体"/>
          <w:sz w:val="44"/>
          <w:szCs w:val="44"/>
        </w:rPr>
      </w:pPr>
      <w:r>
        <w:rPr>
          <w:rFonts w:hint="eastAsia" w:ascii="方正小标宋简体" w:hAnsi="黑体" w:eastAsia="方正小标宋简体" w:cs="黑体"/>
          <w:sz w:val="44"/>
          <w:szCs w:val="44"/>
        </w:rPr>
        <w:t>绥阳县水务局权力清单和责任清单目录（21项）</w:t>
      </w:r>
    </w:p>
    <w:p>
      <w:pPr>
        <w:spacing w:line="240" w:lineRule="exact"/>
        <w:jc w:val="center"/>
        <w:rPr>
          <w:rFonts w:ascii="方正小标宋简体" w:hAnsi="黑体" w:eastAsia="方正小标宋简体" w:cs="黑体"/>
          <w:b/>
          <w:bCs/>
          <w:sz w:val="44"/>
          <w:szCs w:val="44"/>
        </w:rPr>
      </w:pPr>
    </w:p>
    <w:tbl>
      <w:tblPr>
        <w:tblStyle w:val="4"/>
        <w:tblW w:w="1564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65"/>
        <w:gridCol w:w="1132"/>
        <w:gridCol w:w="3847"/>
        <w:gridCol w:w="5100"/>
        <w:gridCol w:w="1072"/>
        <w:gridCol w:w="1039"/>
        <w:gridCol w:w="112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0" w:type="dxa"/>
            <w:tcBorders>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序号</w:t>
            </w:r>
          </w:p>
        </w:tc>
        <w:tc>
          <w:tcPr>
            <w:tcW w:w="765"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权力</w:t>
            </w:r>
          </w:p>
          <w:p>
            <w:pPr>
              <w:spacing w:line="240" w:lineRule="exact"/>
              <w:jc w:val="center"/>
              <w:rPr>
                <w:rFonts w:ascii="黑体" w:hAnsi="黑体" w:eastAsia="黑体" w:cs="宋体"/>
                <w:szCs w:val="21"/>
              </w:rPr>
            </w:pPr>
            <w:r>
              <w:rPr>
                <w:rFonts w:hint="eastAsia" w:ascii="黑体" w:hAnsi="黑体" w:eastAsia="黑体" w:cs="宋体"/>
                <w:szCs w:val="21"/>
              </w:rPr>
              <w:t>类型</w:t>
            </w:r>
          </w:p>
        </w:tc>
        <w:tc>
          <w:tcPr>
            <w:tcW w:w="1132"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权力名称</w:t>
            </w:r>
          </w:p>
        </w:tc>
        <w:tc>
          <w:tcPr>
            <w:tcW w:w="3847"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权力依据</w:t>
            </w:r>
          </w:p>
        </w:tc>
        <w:tc>
          <w:tcPr>
            <w:tcW w:w="5100"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tc>
        <w:tc>
          <w:tcPr>
            <w:tcW w:w="1072"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p>
            <w:pPr>
              <w:spacing w:line="240" w:lineRule="exact"/>
              <w:jc w:val="center"/>
              <w:rPr>
                <w:rFonts w:ascii="黑体" w:hAnsi="黑体" w:eastAsia="黑体" w:cs="宋体"/>
                <w:szCs w:val="21"/>
              </w:rPr>
            </w:pPr>
            <w:r>
              <w:rPr>
                <w:rFonts w:hint="eastAsia" w:ascii="黑体" w:hAnsi="黑体" w:eastAsia="黑体" w:cs="宋体"/>
                <w:szCs w:val="21"/>
              </w:rPr>
              <w:t>依据</w:t>
            </w:r>
          </w:p>
        </w:tc>
        <w:tc>
          <w:tcPr>
            <w:tcW w:w="1039"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承办</w:t>
            </w:r>
          </w:p>
          <w:p>
            <w:pPr>
              <w:spacing w:line="240" w:lineRule="exact"/>
              <w:jc w:val="center"/>
              <w:rPr>
                <w:rFonts w:ascii="黑体" w:hAnsi="黑体" w:eastAsia="黑体" w:cs="宋体"/>
                <w:szCs w:val="21"/>
              </w:rPr>
            </w:pPr>
            <w:r>
              <w:rPr>
                <w:rFonts w:hint="eastAsia" w:ascii="黑体" w:hAnsi="黑体" w:eastAsia="黑体" w:cs="宋体"/>
                <w:szCs w:val="21"/>
              </w:rPr>
              <w:t>机构</w:t>
            </w:r>
          </w:p>
        </w:tc>
        <w:tc>
          <w:tcPr>
            <w:tcW w:w="1125"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追责对象范围</w:t>
            </w:r>
          </w:p>
        </w:tc>
        <w:tc>
          <w:tcPr>
            <w:tcW w:w="1079" w:type="dxa"/>
            <w:tcBorders>
              <w:lef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权限内洪水影响评价类审批</w:t>
            </w:r>
          </w:p>
        </w:tc>
        <w:tc>
          <w:tcPr>
            <w:tcW w:w="3847"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《中华人民共和国水法》（2016年7月2日第十二届全国人民代表大会常务委员会第二十一次会议第二次修正）</w:t>
            </w:r>
          </w:p>
          <w:p>
            <w:pPr>
              <w:widowControl/>
              <w:spacing w:line="240" w:lineRule="exact"/>
              <w:rPr>
                <w:rFonts w:ascii="宋体" w:hAnsi="宋体"/>
                <w:sz w:val="18"/>
                <w:szCs w:val="18"/>
              </w:rPr>
            </w:pPr>
            <w:r>
              <w:rPr>
                <w:rFonts w:hint="eastAsia" w:ascii="宋体" w:hAnsi="宋体"/>
                <w:sz w:val="18"/>
                <w:szCs w:val="18"/>
              </w:rPr>
              <w:t>《中华人民共和国防洪法》（2016年7月2日第十二届全国人民代表大会常务委员会第二十一次会议第三次修正）</w:t>
            </w:r>
          </w:p>
          <w:p>
            <w:pPr>
              <w:widowControl/>
              <w:spacing w:line="240" w:lineRule="exact"/>
              <w:rPr>
                <w:rFonts w:ascii="宋体" w:hAnsi="宋体"/>
                <w:sz w:val="18"/>
                <w:szCs w:val="18"/>
              </w:rPr>
            </w:pPr>
            <w:r>
              <w:rPr>
                <w:rFonts w:hint="eastAsia" w:ascii="宋体" w:hAnsi="宋体"/>
                <w:sz w:val="18"/>
                <w:szCs w:val="18"/>
              </w:rPr>
              <w:t>《中华人民共和国河道管理条例》（国务院令第3号）</w:t>
            </w:r>
          </w:p>
          <w:p>
            <w:pPr>
              <w:widowControl/>
              <w:spacing w:line="240" w:lineRule="exact"/>
              <w:rPr>
                <w:rFonts w:ascii="宋体" w:hAnsi="宋体"/>
                <w:sz w:val="18"/>
                <w:szCs w:val="18"/>
              </w:rPr>
            </w:pPr>
            <w:r>
              <w:rPr>
                <w:rFonts w:hint="eastAsia" w:ascii="宋体" w:hAnsi="宋体"/>
                <w:sz w:val="18"/>
                <w:szCs w:val="18"/>
              </w:rPr>
              <w:t>《水文监测环境和设施保护办法》（2015年12月16日&lt;水利部关于废止和修改部分规章的决定&gt;修正）</w:t>
            </w:r>
          </w:p>
          <w:p>
            <w:pPr>
              <w:widowControl/>
              <w:spacing w:line="240" w:lineRule="exact"/>
              <w:rPr>
                <w:rFonts w:ascii="宋体" w:hAnsi="宋体" w:cs="宋体"/>
                <w:kern w:val="0"/>
                <w:sz w:val="18"/>
                <w:szCs w:val="18"/>
              </w:rPr>
            </w:pPr>
            <w:r>
              <w:rPr>
                <w:rFonts w:hint="eastAsia" w:ascii="宋体" w:hAnsi="宋体" w:cs="宋体"/>
                <w:kern w:val="0"/>
                <w:sz w:val="18"/>
                <w:szCs w:val="18"/>
              </w:rPr>
              <w:t>《水库大坝安全管理条例》《贵州省水利工程管理条例》《贵州省河道条例》《遵义市湘江保护条例》</w:t>
            </w: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运行服务中心综合股、县水务</w:t>
            </w:r>
            <w:r>
              <w:rPr>
                <w:rFonts w:hint="eastAsia" w:ascii="宋体" w:hAnsi="宋体" w:cs="宋体"/>
                <w:kern w:val="0"/>
                <w:sz w:val="18"/>
                <w:szCs w:val="18"/>
              </w:rPr>
              <w:t>局</w:t>
            </w:r>
            <w:r>
              <w:rPr>
                <w:rFonts w:hint="eastAsia" w:ascii="宋体" w:hAnsi="宋体" w:cs="宋体"/>
                <w:sz w:val="18"/>
                <w:szCs w:val="18"/>
              </w:rPr>
              <w:t>驻市政务服务中心窗口</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权限内取水许可审批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《中华人民共和国水法》第四十八条</w:t>
            </w:r>
          </w:p>
          <w:p>
            <w:pPr>
              <w:widowControl/>
              <w:spacing w:line="240" w:lineRule="exact"/>
              <w:textAlignment w:val="center"/>
              <w:rPr>
                <w:rFonts w:ascii="宋体" w:hAnsi="宋体" w:cs="宋体"/>
                <w:kern w:val="0"/>
                <w:sz w:val="18"/>
                <w:szCs w:val="18"/>
              </w:rPr>
            </w:pP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单位法定代表人、分管领导、科室负责人、窗口负责任人、具体承办人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权限内生产建设项目水土保持方案审批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《中华人民共和国水土保持法》第二十五条</w:t>
            </w:r>
          </w:p>
          <w:p>
            <w:pPr>
              <w:widowControl/>
              <w:spacing w:line="240" w:lineRule="exact"/>
              <w:textAlignment w:val="center"/>
              <w:rPr>
                <w:rFonts w:ascii="宋体" w:hAnsi="宋体" w:cs="宋体"/>
                <w:kern w:val="0"/>
                <w:sz w:val="18"/>
                <w:szCs w:val="18"/>
              </w:rPr>
            </w:pP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权限内水利基建项目初步设计文件审批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《国务院对确需保留的行政审批项目设定行政许可的决定》（国务院令第671号）第172项</w:t>
            </w: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bookmarkStart w:id="3" w:name="_GoBack"/>
            <w:bookmarkEnd w:id="3"/>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水利工程建设服务站</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农村集体经济组织修建水库初步设计审批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《中华人民共和国水法》第二十五条 第三款</w:t>
            </w: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sz w:val="18"/>
                <w:szCs w:val="18"/>
              </w:rPr>
            </w:pPr>
            <w:r>
              <w:rPr>
                <w:rFonts w:hint="eastAsia" w:ascii="宋体" w:hAnsi="宋体" w:cs="宋体"/>
                <w:sz w:val="18"/>
                <w:szCs w:val="18"/>
              </w:rPr>
              <w:t>水利工程建设服务站</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rPr>
                <w:rFonts w:ascii="宋体" w:hAnsi="宋体"/>
                <w:color w:val="000000" w:themeColor="text1"/>
                <w:sz w:val="18"/>
                <w:szCs w:val="18"/>
              </w:rPr>
            </w:pPr>
            <w:r>
              <w:rPr>
                <w:rFonts w:hint="eastAsia" w:ascii="宋体" w:hAnsi="宋体"/>
                <w:color w:val="000000" w:themeColor="text1"/>
                <w:sz w:val="18"/>
                <w:szCs w:val="18"/>
              </w:rPr>
              <w:t>城市排水许可</w:t>
            </w:r>
          </w:p>
        </w:tc>
        <w:tc>
          <w:tcPr>
            <w:tcW w:w="3847"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bookmarkStart w:id="0" w:name="21"/>
            <w:r>
              <w:rPr>
                <w:rFonts w:hint="eastAsia" w:ascii="宋体" w:hAnsi="宋体"/>
                <w:color w:val="000000" w:themeColor="text1"/>
                <w:sz w:val="18"/>
                <w:szCs w:val="18"/>
              </w:rPr>
              <w:t>《城镇排水与污水处理条例》第二十一条</w:t>
            </w:r>
            <w:bookmarkEnd w:id="0"/>
            <w:bookmarkStart w:id="1" w:name="22"/>
            <w:r>
              <w:rPr>
                <w:rFonts w:ascii="宋体" w:hAnsi="宋体"/>
                <w:color w:val="000000" w:themeColor="text1"/>
                <w:sz w:val="18"/>
                <w:szCs w:val="18"/>
              </w:rPr>
              <w:t>第二十二条</w:t>
            </w:r>
            <w:bookmarkEnd w:id="1"/>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《国务院对确需保留的行政审批项目设定行政许可的决定》（国务院令第671号）第103项</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2.审查责任：对申请人提交的申请材料进行审查，提出审查意见。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4.送达责任：在规定期限内  向申请人送达行政许可证件；建立信息档案；公开有关信息。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5.事后监管责任：建立实施监督检查的运行机制和管理制度，加强监管。 </w:t>
            </w:r>
          </w:p>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color w:val="000000" w:themeColor="text1"/>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rPr>
                <w:rFonts w:ascii="宋体" w:hAnsi="宋体"/>
                <w:color w:val="000000" w:themeColor="text1"/>
                <w:sz w:val="18"/>
                <w:szCs w:val="18"/>
              </w:rPr>
            </w:pPr>
            <w:r>
              <w:rPr>
                <w:rFonts w:hint="eastAsia" w:ascii="宋体" w:hAnsi="宋体"/>
                <w:color w:val="000000" w:themeColor="text1"/>
                <w:sz w:val="18"/>
                <w:szCs w:val="18"/>
              </w:rPr>
              <w:t>权限内占用农业灌溉水源、灌排工程设施审批</w:t>
            </w:r>
          </w:p>
        </w:tc>
        <w:tc>
          <w:tcPr>
            <w:tcW w:w="3847"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《国务院对确需保留的行政审批项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目设定行政许可的决定》（2016 年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国务院令第 671 号修正）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《农田水利条例》（2016 年国务院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令第 669 号）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《国务院关于取消和下放一批行政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审批项目的决定》（国发〔2014〕5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号）</w:t>
            </w:r>
          </w:p>
          <w:p>
            <w:pPr>
              <w:widowControl/>
              <w:spacing w:line="240" w:lineRule="exact"/>
              <w:rPr>
                <w:rFonts w:ascii="宋体" w:hAnsi="宋体"/>
                <w:color w:val="000000" w:themeColor="text1"/>
                <w:sz w:val="18"/>
                <w:szCs w:val="18"/>
              </w:rPr>
            </w:pP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2.审查责任：对申请人提交的申请材料进行审查，提出审查意见。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4.送达责任：在规定期限内  向申请人送达行政许可证件；建立信息档案；公开有关信息。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5.事后监管责任：建立实施监督检查的运行机制和管理制度，加强监管。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color w:val="000000" w:themeColor="text1"/>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因工程建设需要拆除、改动、迁移供水、排水与污水处理设施审核</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1.《城市供水条例》 第三十条；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2.《城镇排水与污水处理条例》 第四十三条。</w:t>
            </w:r>
          </w:p>
        </w:tc>
        <w:tc>
          <w:tcPr>
            <w:tcW w:w="5100"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1.受理责任：公示法定应当提交的材料；一次性告知补正材料；依法受理备案或不予受理备案申请，不予受理备案的说明理由。</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2.审查责任：对申请人提交的申请材料进行审查。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3.决定责任：在规定期限内出具备案证明。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1.《城市供水条例》 第三十条；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2.《城镇排水与污水处理条例》 第四十三条。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行政征收</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水资源费征收</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《取水许可和水资源费征收管理条例》（2017年国务院令第 676 号）第二十八条  </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《贵州省实施〈中华人民共和国水法〉办法》（ 贵州省第十二届人民代表大会常务委员会公告2017第22号）第二十一条</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1.起始责任：公告征收的对象、方式、范围等应当公示的内容，并予以解释。</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2.审核责任：对有关材料进行审核，提出审核意见。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3.决定责任：在规定期限内作出征收决定。</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4.事中事后责任：建立健全事中事后监管措施，加强监管。</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《中华人民共和国水法》第四十八条</w:t>
            </w:r>
          </w:p>
        </w:tc>
        <w:tc>
          <w:tcPr>
            <w:tcW w:w="1039" w:type="dxa"/>
            <w:tcBorders>
              <w:left w:val="single" w:color="auto" w:sz="4" w:space="0"/>
              <w:right w:val="single" w:color="auto" w:sz="4" w:space="0"/>
            </w:tcBorders>
            <w:noWrap/>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行政征收</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污水处理费征收</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《城镇排水与污水处理条例》第三十二条第一款</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1.起始责任：公告征收的对象、方式、范围等应当公示的内容，并予以解释。</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2.审核责任：对有关材料进行审核，提出审核意见。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3.决定责任：在规定期限内作出征收决定。</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4.事中事后责任：建立健全事中事后监管措施，加强监管。</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《城镇排水与污水处理条例》第三十二条第一款</w:t>
            </w:r>
          </w:p>
        </w:tc>
        <w:tc>
          <w:tcPr>
            <w:tcW w:w="1039" w:type="dxa"/>
            <w:tcBorders>
              <w:left w:val="single" w:color="auto" w:sz="4" w:space="0"/>
              <w:right w:val="single" w:color="auto" w:sz="4" w:space="0"/>
            </w:tcBorders>
            <w:noWrap/>
            <w:vAlign w:val="center"/>
          </w:tcPr>
          <w:p>
            <w:pPr>
              <w:spacing w:line="240" w:lineRule="exact"/>
              <w:rPr>
                <w:rFonts w:ascii="宋体" w:hAnsi="宋体" w:cs="宋体"/>
                <w:bCs/>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水资源管理监督检查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《中华人民共和国水法》第十二条第四款</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p>
            <w:pPr>
              <w:widowControl/>
              <w:spacing w:line="240" w:lineRule="exact"/>
              <w:jc w:val="left"/>
              <w:textAlignment w:val="center"/>
              <w:rPr>
                <w:rFonts w:ascii="宋体" w:hAnsi="宋体" w:cs="宋体"/>
                <w:color w:val="000000" w:themeColor="text1"/>
                <w:kern w:val="0"/>
                <w:sz w:val="18"/>
                <w:szCs w:val="18"/>
              </w:rPr>
            </w:pP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《中华人民共和国水法》第十二条第四款</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水利工程建设项目及水利工程建设市场主体监督检查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《水利工程质量管理规定》（水利部令第7号）第十三条</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p>
            <w:pPr>
              <w:widowControl/>
              <w:spacing w:line="240" w:lineRule="exact"/>
              <w:jc w:val="left"/>
              <w:textAlignment w:val="center"/>
              <w:rPr>
                <w:rFonts w:ascii="宋体" w:hAnsi="宋体" w:cs="宋体"/>
                <w:color w:val="000000" w:themeColor="text1"/>
                <w:kern w:val="0"/>
                <w:sz w:val="18"/>
                <w:szCs w:val="18"/>
              </w:rPr>
            </w:pP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《水利工程质量管理规定》（水利部令第7号）第十三条</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质量监督股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水土保持检查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《中华人民共和国水土保持法》第二十九条 第四十三条</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p>
            <w:pPr>
              <w:widowControl/>
              <w:spacing w:line="240" w:lineRule="exact"/>
              <w:jc w:val="left"/>
              <w:textAlignment w:val="center"/>
              <w:rPr>
                <w:rFonts w:ascii="宋体" w:hAnsi="宋体" w:cs="宋体"/>
                <w:color w:val="000000" w:themeColor="text1"/>
                <w:sz w:val="18"/>
                <w:szCs w:val="18"/>
              </w:rPr>
            </w:pP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《中华人民共和国水土保持法》第二十九条</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对城镇排水与污水处理设施运行维护和保护情况的监督检查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《城镇排水与污水处理条例》第四十四条第一款</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4.其他法律法规规章文件规定应履行的责任。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《城镇排水与污水处理条例》第四十四条第一款</w:t>
            </w:r>
          </w:p>
        </w:tc>
        <w:tc>
          <w:tcPr>
            <w:tcW w:w="1039" w:type="dxa"/>
            <w:tcBorders>
              <w:left w:val="single" w:color="auto" w:sz="4" w:space="0"/>
              <w:right w:val="single" w:color="auto" w:sz="4" w:space="0"/>
            </w:tcBorders>
            <w:noWrap/>
            <w:vAlign w:val="center"/>
          </w:tcPr>
          <w:p>
            <w:pPr>
              <w:spacing w:line="240" w:lineRule="exact"/>
              <w:rPr>
                <w:rFonts w:ascii="宋体" w:hAnsi="宋体" w:cs="宋体"/>
                <w:b/>
                <w:bCs/>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加强对水资源费征收、使用情况的监督检查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《取水许可和水资源费征收管理条例》第三十八条</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《取水许可和水资源费征收管理条例》第三十八条</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权限内在建水库工程汛期安全度汛方案审批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《贵州省防洪条例》（贵州省第十二届人民代表大会常务委员会公告2017第22号）第二十四条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《省人民政府关于第二批取消下放管理层级转变管理方式的行政许可事项的决定》 （省政府令第 129 号）附件3第35项</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1.受理责任：公示法定应当提交的检查材料；一次性告知补正材料；</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2.审查责任：对申请人提交的申请材料进行审查，提出审查意见，检查过程中实事求是，依法依规。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3.决定责任：在规定期限内作出书面决定（不予通过应说明理由）。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4.送达责任：在规定期限内制定并向申请人送达相关文书。</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《贵州省防洪条例》第二十四条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运行服务中心综合股</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权限内水库（水电站）汛期调度运用计划和防御洪水方案审批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《贵州省防洪条例》（贵州省第十二届人民代表大会常务委员会公告2017第22号）第二十三条 第二十四条 第二十五条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《省人民政府关于第二批取消下放管理层级转变管理方式的行政许可事项的决定》 （省政府令第 129 号）附件3第35项</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1.受理责任：公示法定应当提交的检查材料；一次性告知补正材料；</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2.审查责任：对申请人提交的申请材料进行审查，提出审查意见，检查过程中实事求是，依法依规。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3.决定责任：在规定期限内作出书面决定（不予通过应说明理由）。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4.送达责任：在规定期限内制定并向申请人送达相关文书。</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《贵州省防洪条例》第二十三、二十四、二十五条。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运行服务中心综合股</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大坝竣工</w:t>
            </w:r>
          </w:p>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验收</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《水库大坝安全管理条例》（2011年国务院令第588号）第十一条</w:t>
            </w:r>
          </w:p>
        </w:tc>
        <w:tc>
          <w:tcPr>
            <w:tcW w:w="5100" w:type="dxa"/>
            <w:tcBorders>
              <w:left w:val="single" w:color="auto" w:sz="4" w:space="0"/>
              <w:right w:val="single" w:color="auto" w:sz="4" w:space="0"/>
            </w:tcBorders>
            <w:shd w:val="clear" w:color="auto" w:fill="auto"/>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1.受理责任：公示法定应当提交的材料；一次性告知补正材料；依法受理或不予受理申请（不予受理的说明理由）。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2.审查责任：对申请人提交的申请材料进行审查，提出审查意见。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3.决定责任：在规定期限内作出书面决定（不予通过应说明理由）。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4.送达责任：在规定期限内制定并向申请人送达法律证件。</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《水库大坝安全管理条例》第十一条 </w:t>
            </w:r>
          </w:p>
        </w:tc>
        <w:tc>
          <w:tcPr>
            <w:tcW w:w="1039"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水利工程建设服务站</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r>
              <w:rPr>
                <w:rFonts w:hint="eastAsia" w:ascii="黑体" w:hAnsi="黑体" w:eastAsia="黑体" w:cs="黑体"/>
                <w:color w:val="000000" w:themeColor="text1"/>
                <w:szCs w:val="21"/>
              </w:rPr>
              <w:br w:type="textWrapping"/>
            </w: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水利建设安全生产措施方案的备案</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《水利工程建设安全生产管理规定(2017修正)》</w:t>
            </w:r>
            <w:bookmarkStart w:id="2" w:name="9"/>
            <w:r>
              <w:rPr>
                <w:rFonts w:hint="eastAsia" w:ascii="宋体" w:hAnsi="宋体" w:cs="宋体"/>
                <w:color w:val="000000" w:themeColor="text1"/>
                <w:kern w:val="0"/>
                <w:sz w:val="18"/>
                <w:szCs w:val="18"/>
              </w:rPr>
              <w:t>第九条</w:t>
            </w:r>
            <w:bookmarkEnd w:id="2"/>
            <w:r>
              <w:rPr>
                <w:rFonts w:hint="eastAsia" w:ascii="宋体" w:hAnsi="宋体" w:cs="宋体"/>
                <w:color w:val="000000" w:themeColor="text1"/>
                <w:kern w:val="0"/>
                <w:sz w:val="18"/>
                <w:szCs w:val="18"/>
              </w:rPr>
              <w:t>　</w:t>
            </w:r>
          </w:p>
        </w:tc>
        <w:tc>
          <w:tcPr>
            <w:tcW w:w="5100" w:type="dxa"/>
            <w:tcBorders>
              <w:left w:val="single" w:color="auto" w:sz="4" w:space="0"/>
              <w:right w:val="single" w:color="auto" w:sz="4" w:space="0"/>
            </w:tcBorders>
            <w:noWrap/>
            <w:vAlign w:val="center"/>
          </w:tcPr>
          <w:p>
            <w:pPr>
              <w:widowControl/>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1.受理责任：公示法定应当提交的材料；一次性告知补正材料；依法受理或不予受理申请。</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2.审查责任：对申请人提交的申请材料进行审查，组织检查验收，提出意见。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3.决定责任：在规定期限内依法作出行政决定。</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4.监管责任：建立健全事中事后监管措施，加强监管。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5.法律法规规章文件规定应履行的责任。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《水利工程建设安全生产管理规定(2017修正)》第九条　</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质量监督股</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城镇排水与污水处理设施竣工验收备案</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 第十五条</w:t>
            </w:r>
          </w:p>
        </w:tc>
        <w:tc>
          <w:tcPr>
            <w:tcW w:w="5100"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1.受理责任：公示法定应当提交的材料；一次性告知补正材料；依法受理备案或不予受理备案申请，不予受理备案的说明理由。</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2.审查责任：对申请人提交的申请材料进行审查。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3.决定责任：在规定期限内出具备案证明。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 第十五条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单位法定代表人、分管领导、科室负责人、具体承办</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城镇供水设施竣工验收</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《城市供水条例》 第十七条</w:t>
            </w:r>
          </w:p>
        </w:tc>
        <w:tc>
          <w:tcPr>
            <w:tcW w:w="5100"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1.受理责任：公示法定应当提交的材料；一次性告知补正材料；依法受理备案或不予受理备案申请，不予受理备案的说明理由。</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2.审查责任：对申请人提交的申请材料进行审查。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3.决定责任：在规定期限内出具备案证明。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《城市供水条例》 第十七条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单位法定代表人、分管领导、科室负责人、具体承办</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bl>
    <w:p>
      <w:pPr>
        <w:spacing w:line="240" w:lineRule="exact"/>
        <w:rPr>
          <w:color w:val="000000" w:themeColor="text1"/>
        </w:rPr>
      </w:pPr>
    </w:p>
    <w:p>
      <w:pPr>
        <w:rPr>
          <w:color w:val="000000" w:themeColor="text1"/>
        </w:rPr>
      </w:pPr>
    </w:p>
    <w:sectPr>
      <w:footerReference r:id="rId3" w:type="default"/>
      <w:pgSz w:w="16838" w:h="11906" w:orient="landscape"/>
      <w:pgMar w:top="1417" w:right="1440" w:bottom="1417" w:left="1440" w:header="851" w:footer="992" w:gutter="0"/>
      <w:pgNumType w:fmt="numberInDash" w:start="1"/>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ascii="宋体" w:hAnsi="宋体" w:cs="宋体"/>
                    <w:sz w:val="28"/>
                    <w:szCs w:val="32"/>
                  </w:rPr>
                  <w:fldChar w:fldCharType="begin"/>
                </w:r>
                <w:r>
                  <w:rPr>
                    <w:rFonts w:hint="eastAsia" w:ascii="宋体" w:hAnsi="宋体" w:cs="宋体"/>
                    <w:sz w:val="28"/>
                    <w:szCs w:val="32"/>
                  </w:rPr>
                  <w:instrText xml:space="preserve"> PAGE  \* MERGEFORMAT </w:instrText>
                </w:r>
                <w:r>
                  <w:rPr>
                    <w:rFonts w:hint="eastAsia" w:ascii="宋体" w:hAnsi="宋体" w:cs="宋体"/>
                    <w:sz w:val="28"/>
                    <w:szCs w:val="32"/>
                  </w:rPr>
                  <w:fldChar w:fldCharType="separate"/>
                </w:r>
                <w:r>
                  <w:rPr>
                    <w:rFonts w:ascii="宋体" w:hAnsi="宋体" w:cs="宋体"/>
                    <w:sz w:val="28"/>
                    <w:szCs w:val="32"/>
                  </w:rPr>
                  <w:t>- 7 -</w:t>
                </w:r>
                <w:r>
                  <w:rPr>
                    <w:rFonts w:hint="eastAsia" w:ascii="宋体" w:hAnsi="宋体" w:cs="宋体"/>
                    <w:sz w:val="28"/>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EF9F"/>
    <w:multiLevelType w:val="singleLevel"/>
    <w:tmpl w:val="56DFEF9F"/>
    <w:lvl w:ilvl="0" w:tentative="0">
      <w:start w:val="1"/>
      <w:numFmt w:val="decimal"/>
      <w:suff w:val="nothing"/>
      <w:lvlText w:val="%1"/>
      <w:lvlJc w:val="center"/>
      <w:pPr>
        <w:ind w:left="-119"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9014A48"/>
    <w:rsid w:val="00054967"/>
    <w:rsid w:val="0009458A"/>
    <w:rsid w:val="000D145D"/>
    <w:rsid w:val="001C164A"/>
    <w:rsid w:val="00641FBB"/>
    <w:rsid w:val="00951A77"/>
    <w:rsid w:val="00A40FBB"/>
    <w:rsid w:val="00BB692E"/>
    <w:rsid w:val="00DB60EB"/>
    <w:rsid w:val="074F5C40"/>
    <w:rsid w:val="1B101E92"/>
    <w:rsid w:val="1BE7030D"/>
    <w:rsid w:val="2EA04264"/>
    <w:rsid w:val="3B807DAB"/>
    <w:rsid w:val="3DF46D6B"/>
    <w:rsid w:val="42986A22"/>
    <w:rsid w:val="49014A48"/>
    <w:rsid w:val="49E16C4C"/>
    <w:rsid w:val="5DEA7E7B"/>
    <w:rsid w:val="73A87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1031</Words>
  <Characters>5881</Characters>
  <Lines>49</Lines>
  <Paragraphs>13</Paragraphs>
  <TotalTime>12</TotalTime>
  <ScaleCrop>false</ScaleCrop>
  <LinksUpToDate>false</LinksUpToDate>
  <CharactersWithSpaces>6899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2021-06-01T01:04:00Z</dcterms:created>
  <dc:creator>qy</dc:creator>
  <cp:lastModifiedBy>Administrator</cp:lastModifiedBy>
  <dcterms:modified xsi:type="dcterms:W3CDTF">2024-12-09T07:21:32Z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