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p>
    <w:p>
      <w:pPr>
        <w:widowControl/>
        <w:spacing w:line="600" w:lineRule="exact"/>
        <w:jc w:val="center"/>
        <w:textAlignment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绥阳县经济贸易局(绥阳县商务局)权力清单和责任清单目录(</w:t>
      </w:r>
      <w:r>
        <w:rPr>
          <w:rFonts w:hint="eastAsia" w:ascii="方正小标宋简体" w:hAnsi="方正小标宋简体" w:eastAsia="方正小标宋简体" w:cs="方正小标宋简体"/>
          <w:bCs/>
          <w:color w:val="000000"/>
          <w:kern w:val="0"/>
          <w:sz w:val="44"/>
          <w:szCs w:val="44"/>
          <w:lang w:val="en-US" w:eastAsia="zh-CN"/>
        </w:rPr>
        <w:t>54</w:t>
      </w:r>
      <w:r>
        <w:rPr>
          <w:rFonts w:hint="eastAsia" w:ascii="方正小标宋简体" w:hAnsi="方正小标宋简体" w:eastAsia="方正小标宋简体" w:cs="方正小标宋简体"/>
          <w:bCs/>
          <w:color w:val="000000"/>
          <w:kern w:val="0"/>
          <w:sz w:val="44"/>
          <w:szCs w:val="44"/>
        </w:rPr>
        <w:t>项)</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承办</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1.《中华人民共和国节约能源法》第十五条；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2.《固定资产投资项目节能审查办法》第五条；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3.《贵州省节约能源条例》第十六条；                      4.《贵州省固定资产投资项目节能审查实施办法》第六条；</w:t>
            </w:r>
          </w:p>
          <w:p>
            <w:pPr>
              <w:widowControl/>
              <w:spacing w:line="240" w:lineRule="exact"/>
              <w:jc w:val="left"/>
              <w:textAlignment w:val="center"/>
            </w:pPr>
            <w:r>
              <w:rPr>
                <w:rFonts w:hint="eastAsia" w:ascii="宋体" w:hAnsi="宋体" w:cs="宋体"/>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限制进出口技术许可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1.《中华人民共和国对外贸易法》第十六条；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2.《中华人民共和国技术进出口管理条例》第二章。</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1.《城镇燃气管理条例》（国务院令583号）第十五条；</w:t>
            </w:r>
            <w:r>
              <w:rPr>
                <w:rFonts w:hint="eastAsia" w:ascii="宋体" w:hAnsi="宋体" w:cs="宋体"/>
                <w:kern w:val="0"/>
                <w:sz w:val="18"/>
                <w:szCs w:val="18"/>
              </w:rPr>
              <w:br w:type="textWrapping"/>
            </w:r>
            <w:r>
              <w:rPr>
                <w:rFonts w:hint="eastAsia" w:ascii="宋体" w:hAnsi="宋体" w:cs="宋体"/>
                <w:kern w:val="0"/>
                <w:sz w:val="18"/>
                <w:szCs w:val="18"/>
              </w:rPr>
              <w:t>2.《贵州省燃气管理条例》（2001年1月5日贵州省第九届人大常务委员会第二十次会议通过）第十七条；</w:t>
            </w:r>
            <w:r>
              <w:rPr>
                <w:rFonts w:hint="eastAsia" w:ascii="宋体" w:hAnsi="宋体" w:cs="宋体"/>
                <w:kern w:val="0"/>
                <w:sz w:val="18"/>
                <w:szCs w:val="18"/>
              </w:rPr>
              <w:br w:type="textWrapping"/>
            </w:r>
            <w:r>
              <w:rPr>
                <w:rFonts w:hint="eastAsia" w:ascii="宋体" w:hAnsi="宋体" w:cs="宋体"/>
                <w:kern w:val="0"/>
                <w:sz w:val="18"/>
                <w:szCs w:val="18"/>
              </w:rPr>
              <w:t>3.《关于做好我省汽车加气站经营许可管理工作的通知（黔商发〔2013〕160号）；</w:t>
            </w:r>
          </w:p>
          <w:p>
            <w:pPr>
              <w:widowControl/>
              <w:spacing w:line="240" w:lineRule="exact"/>
              <w:jc w:val="left"/>
              <w:textAlignment w:val="center"/>
            </w:pPr>
            <w:r>
              <w:rPr>
                <w:rFonts w:hint="eastAsia" w:ascii="宋体" w:hAnsi="宋体" w:cs="宋体"/>
                <w:kern w:val="0"/>
                <w:sz w:val="18"/>
                <w:szCs w:val="18"/>
              </w:rPr>
              <w:t>4.《遵义市人民政府公告》（[2018]第2号）附件4第5项。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w:t>
            </w:r>
            <w:r>
              <w:rPr>
                <w:rFonts w:hint="eastAsia" w:ascii="宋体" w:hAnsi="宋体" w:cs="宋体"/>
                <w:spacing w:val="-6"/>
                <w:kern w:val="0"/>
                <w:sz w:val="18"/>
                <w:szCs w:val="18"/>
              </w:rPr>
              <w:t>任：对申请人提交的申请材料进行审查，提出审查意见。</w:t>
            </w:r>
            <w:r>
              <w:rPr>
                <w:rFonts w:hint="eastAsia" w:ascii="宋体" w:hAnsi="宋体" w:cs="宋体"/>
                <w:spacing w:val="-6"/>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对外劳务合作经营资格核准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w:t>
            </w:r>
            <w:r>
              <w:rPr>
                <w:rFonts w:hint="eastAsia" w:ascii="宋体" w:hAnsi="宋体" w:cs="宋体"/>
                <w:kern w:val="0"/>
                <w:sz w:val="18"/>
                <w:szCs w:val="18"/>
                <w:lang w:eastAsia="zh-CN"/>
              </w:rPr>
              <w:t>管理</w:t>
            </w:r>
            <w:r>
              <w:rPr>
                <w:rFonts w:hint="eastAsia" w:ascii="宋体" w:hAnsi="宋体" w:cs="宋体"/>
                <w:kern w:val="0"/>
                <w:sz w:val="18"/>
                <w:szCs w:val="18"/>
              </w:rPr>
              <w:t>条例》第五条；</w:t>
            </w:r>
            <w:r>
              <w:rPr>
                <w:rFonts w:hint="eastAsia" w:ascii="宋体" w:hAnsi="宋体" w:cs="宋体"/>
                <w:kern w:val="0"/>
                <w:sz w:val="18"/>
                <w:szCs w:val="18"/>
              </w:rPr>
              <w:br w:type="textWrapping"/>
            </w:r>
            <w:r>
              <w:rPr>
                <w:rFonts w:hint="eastAsia" w:ascii="宋体" w:hAnsi="宋体" w:cs="宋体"/>
                <w:kern w:val="0"/>
                <w:sz w:val="18"/>
                <w:szCs w:val="18"/>
              </w:rPr>
              <w:t>2.《国务院对确需保留的行政审批项目设定行政许可的决定》（国务院令第412号）；</w:t>
            </w:r>
            <w:r>
              <w:rPr>
                <w:rFonts w:hint="eastAsia" w:ascii="宋体" w:hAnsi="宋体" w:cs="宋体"/>
                <w:kern w:val="0"/>
                <w:sz w:val="18"/>
                <w:szCs w:val="18"/>
              </w:rPr>
              <w:br w:type="textWrapping"/>
            </w:r>
            <w:r>
              <w:rPr>
                <w:rFonts w:hint="eastAsia" w:ascii="宋体" w:hAnsi="宋体" w:cs="宋体"/>
                <w:kern w:val="0"/>
                <w:sz w:val="18"/>
                <w:szCs w:val="18"/>
              </w:rPr>
              <w:t>3.《国务院关于第五批取消和下放管理层级行政审批项目的决定》（国发〔2010〕21号）；</w:t>
            </w:r>
            <w:r>
              <w:rPr>
                <w:rFonts w:hint="eastAsia" w:ascii="宋体" w:hAnsi="宋体" w:cs="宋体"/>
                <w:kern w:val="0"/>
                <w:sz w:val="18"/>
                <w:szCs w:val="18"/>
              </w:rPr>
              <w:br w:type="textWrapping"/>
            </w:r>
            <w:r>
              <w:rPr>
                <w:rFonts w:hint="eastAsia" w:ascii="宋体" w:hAnsi="宋体" w:cs="宋体"/>
                <w:kern w:val="0"/>
                <w:sz w:val="18"/>
                <w:szCs w:val="18"/>
              </w:rPr>
              <w:t>4.《国务院关于第五批取消和下放管理层级行政审批项目的决定》（国发〔2010〕21号）附件2第1项；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5.《贵州省人民政府关于2013年度取消和调整行政认可项目的决定》（省政府令第146号）附件2第15项；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6.《贵州省商务厅关于进一步提高行政效能的实施意见》（黔商发〔2013〕184号）；7.《遵义市人民政府公告》（[2018]第2号）附件4第4项。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 第23号）第六条；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1.《报废机动车回收管理办法》（国务院令第715号）第6条 。</w:t>
            </w:r>
          </w:p>
          <w:p>
            <w:pPr>
              <w:widowControl/>
              <w:spacing w:line="240" w:lineRule="exact"/>
              <w:jc w:val="left"/>
              <w:textAlignment w:val="center"/>
            </w:pPr>
            <w:r>
              <w:rPr>
                <w:rFonts w:hint="eastAsia" w:ascii="宋体" w:hAnsi="宋体" w:cs="宋体"/>
                <w:color w:val="000000"/>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2.处置责任：根据有关规定作出相应处置措施。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3.事后管理责任：对检查情况进行汇总、分类、归档备查，并跟踪监测。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2.处置责任：根据有关规定作出相应处置措施。</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外派劳务项目审查市级备案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1.《对外劳务合作管理条例》第七条、第二十六条 ；</w:t>
            </w:r>
          </w:p>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2.《关于印发&lt;对外劳务合作项目审查有关问题的规定&gt;的通知》第二条。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《对外劳务合作管理条例》</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bookmarkStart w:id="0" w:name="_GoBack"/>
            <w:r>
              <w:rPr>
                <w:rFonts w:hint="eastAsia" w:ascii="宋体" w:hAnsi="宋体" w:cs="宋体"/>
                <w:color w:val="000000"/>
                <w:kern w:val="0"/>
                <w:sz w:val="18"/>
                <w:szCs w:val="18"/>
              </w:rPr>
              <w:t>《对外劳务合作风险处置备用金管理办法</w:t>
            </w:r>
            <w:bookmarkEnd w:id="0"/>
            <w:r>
              <w:rPr>
                <w:rFonts w:hint="eastAsia" w:ascii="宋体" w:hAnsi="宋体" w:cs="宋体"/>
                <w:color w:val="000000"/>
                <w:kern w:val="0"/>
                <w:sz w:val="18"/>
                <w:szCs w:val="18"/>
                <w:lang w:eastAsia="zh-CN"/>
              </w:rPr>
              <w:t>（试行）》</w:t>
            </w:r>
            <w:r>
              <w:rPr>
                <w:rFonts w:hint="eastAsia" w:ascii="宋体" w:hAnsi="宋体" w:cs="宋体"/>
                <w:color w:val="000000"/>
                <w:kern w:val="0"/>
                <w:sz w:val="18"/>
                <w:szCs w:val="18"/>
              </w:rPr>
              <w:t>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1.《再生资源回收管理办法》第七条 </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1.《国务院关于投资体制改革的决定》（国发〔2004〕20号）；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2.《企业投资项目核准和备案管理条例》（国务院令第673号）；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2.《企业投资项目核准和备案管理条例》第5、15、16、17条；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3.《企业投资项目核准和备案管理办法》第9、10、11、13、41、43条；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4.《贵州省企业投资项目核准和备案管理办法》</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1.《成品油市场管理办法》（商务部令2006年第23号）；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（一）煤矿、非煤矿山、危险化学品、烟花爆竹、金属冶炼等生产经营单位主要负责人和安全管理人员未按照规定经考核合格的；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（二）未按照规定对从业人员、被派遣劳动者、实习学生进行安全生产教育和培训或者未如实告知其有关安全生产事项的；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（三）未如实记录安全生产教育和培训情况的；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（四）特种作业人员未按照规定经专门的安全技术培训并取得特种作业人员操作资格证书，上岗作业的。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煤矿安全监察机构发现煤矿特种作业人员无证上岗作业的，责令限期改正，处10万元以上50万元以下的罚款；逾期未改正的，责令停产停业整顿。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《国务院关于预防煤矿生产安全事故的特别规定》第五条  煤矿未依法取得采矿许可证、安全生产许可证、营业执照和矿长未依法取得矿长资格证、矿长安全资格证的，煤矿不得从事生产。擅自从事生产的，属非法煤矿。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对煤矿未按规定排查和报告安全隐患的处罚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对被责令停产整顿的煤矿擅自从事生产的处罚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《国务院关于预防煤矿生产安全事故的特别规定》第十一条  对被责令停产整顿的煤矿，颁发证照的部门应当暂扣采矿许可证、安全生产许可证、营业执照和矿长资格证、矿长安全资格证。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对煤矿现有条件难以防治重大安全隐患的处罚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对煤矿企业未依照国家有关规定对井下作业人员进行安全生产教育和培训或者特种作业人员无证上岗的处罚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县级以上地方人民政府负责煤矿安全生产监督管理的部门、煤矿安全监察机构未履行前款规定的监督检查职责的，对主要负责人，根据情节轻重，给予警告、记过或者记大过的行政处分。</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对煤矿负责人或者生产经营管理人员没有按照国家规定带班下井，或者下井登记档案虚假的处罚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《国务院关于预防煤矿生产安全事故的特别规定》第二十一条  煤矿企业负责人和生产经营管理人员应当按照国家规定轮流带班下井，并建立下井登记档案。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对生产经营单位的主要负责人未履行本法规定的安全生产管理职责的的处罚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（三）未对安全设备进行经常性维护、保养和定期检测的；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（七）使用应当淘汰的危及生产安全的工艺、设备的；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（八）餐饮等行业的生产经营单位使用燃气未安装可燃气体报警装置的。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79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bl>
    <w:p>
      <w:pPr>
        <w:rPr>
          <w:rFonts w:hint="eastAsia" w:eastAsia="宋体"/>
          <w:lang w:val="en-US" w:eastAsia="zh-CN"/>
        </w:rPr>
      </w:pPr>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gutterAtTop/>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43DB"/>
    <w:rsid w:val="00172A27"/>
    <w:rsid w:val="002F7974"/>
    <w:rsid w:val="00363EAD"/>
    <w:rsid w:val="00400521"/>
    <w:rsid w:val="00580695"/>
    <w:rsid w:val="005A7D71"/>
    <w:rsid w:val="006A6E6B"/>
    <w:rsid w:val="0081010B"/>
    <w:rsid w:val="00A44698"/>
    <w:rsid w:val="00A740A2"/>
    <w:rsid w:val="00AC3E05"/>
    <w:rsid w:val="00AD4C93"/>
    <w:rsid w:val="00C40E4A"/>
    <w:rsid w:val="00C84A00"/>
    <w:rsid w:val="00D079C0"/>
    <w:rsid w:val="00D20CB1"/>
    <w:rsid w:val="00E2054B"/>
    <w:rsid w:val="00F00347"/>
    <w:rsid w:val="00FC3646"/>
    <w:rsid w:val="03FE3914"/>
    <w:rsid w:val="08FD7D71"/>
    <w:rsid w:val="09B8656B"/>
    <w:rsid w:val="09B91A06"/>
    <w:rsid w:val="0BEC5706"/>
    <w:rsid w:val="0BEF5A18"/>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E354656"/>
    <w:rsid w:val="3EAA22B0"/>
    <w:rsid w:val="3EF82261"/>
    <w:rsid w:val="3FA41149"/>
    <w:rsid w:val="3FDD47BE"/>
    <w:rsid w:val="40FC3197"/>
    <w:rsid w:val="421B14CD"/>
    <w:rsid w:val="42347B9A"/>
    <w:rsid w:val="43BE08C1"/>
    <w:rsid w:val="43F97CBE"/>
    <w:rsid w:val="44144523"/>
    <w:rsid w:val="44F4633E"/>
    <w:rsid w:val="45071036"/>
    <w:rsid w:val="461A5A00"/>
    <w:rsid w:val="467B45ED"/>
    <w:rsid w:val="49213892"/>
    <w:rsid w:val="4A851FE0"/>
    <w:rsid w:val="4C26045A"/>
    <w:rsid w:val="4DD30A4B"/>
    <w:rsid w:val="4EB6257C"/>
    <w:rsid w:val="4F066D85"/>
    <w:rsid w:val="50E20D47"/>
    <w:rsid w:val="51A64A24"/>
    <w:rsid w:val="53816CEE"/>
    <w:rsid w:val="549C038F"/>
    <w:rsid w:val="55DB5A39"/>
    <w:rsid w:val="55DD7E63"/>
    <w:rsid w:val="55EE2EF1"/>
    <w:rsid w:val="56230FC5"/>
    <w:rsid w:val="57D7349F"/>
    <w:rsid w:val="580B36EF"/>
    <w:rsid w:val="589D55F7"/>
    <w:rsid w:val="58A24C12"/>
    <w:rsid w:val="59766B44"/>
    <w:rsid w:val="5A254335"/>
    <w:rsid w:val="5A99635B"/>
    <w:rsid w:val="5D133214"/>
    <w:rsid w:val="5DD3580E"/>
    <w:rsid w:val="5E8B6BDD"/>
    <w:rsid w:val="5EB56722"/>
    <w:rsid w:val="601B6E37"/>
    <w:rsid w:val="603D055B"/>
    <w:rsid w:val="631D32C5"/>
    <w:rsid w:val="63251090"/>
    <w:rsid w:val="6328695D"/>
    <w:rsid w:val="63E325C9"/>
    <w:rsid w:val="64DD46FE"/>
    <w:rsid w:val="66DC3886"/>
    <w:rsid w:val="68984A3A"/>
    <w:rsid w:val="69FF20E5"/>
    <w:rsid w:val="6A1C2DF1"/>
    <w:rsid w:val="6A7A3FF4"/>
    <w:rsid w:val="6A89388B"/>
    <w:rsid w:val="6ADF49B6"/>
    <w:rsid w:val="6B534B69"/>
    <w:rsid w:val="6C210C01"/>
    <w:rsid w:val="6C2D041C"/>
    <w:rsid w:val="6CDA24CA"/>
    <w:rsid w:val="6F2059DD"/>
    <w:rsid w:val="708128FA"/>
    <w:rsid w:val="71DE04EC"/>
    <w:rsid w:val="72005B6A"/>
    <w:rsid w:val="72B754F2"/>
    <w:rsid w:val="74082FAD"/>
    <w:rsid w:val="74D643EF"/>
    <w:rsid w:val="756C13DA"/>
    <w:rsid w:val="75B62D12"/>
    <w:rsid w:val="76417FB3"/>
    <w:rsid w:val="765B1C12"/>
    <w:rsid w:val="77C57DFB"/>
    <w:rsid w:val="793F06BE"/>
    <w:rsid w:val="79D93FCE"/>
    <w:rsid w:val="7B33223F"/>
    <w:rsid w:val="7B701341"/>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1129</Words>
  <Characters>6438</Characters>
  <Lines>53</Lines>
  <Paragraphs>15</Paragraphs>
  <TotalTime>7</TotalTime>
  <ScaleCrop>false</ScaleCrop>
  <LinksUpToDate>false</LinksUpToDate>
  <CharactersWithSpaces>7552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Administrator</cp:lastModifiedBy>
  <cp:lastPrinted>2023-07-07T03:46:00Z</cp:lastPrinted>
  <dcterms:modified xsi:type="dcterms:W3CDTF">2025-03-05T06:10:27Z</dcterms:modified>
  <dc:title> 4、县工业和信息化局权力清单和责任清单目录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