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570" w:beforeAutospacing="0" w:after="226" w:afterAutospacing="0"/>
        <w:ind w:left="270" w:right="0"/>
        <w:jc w:val="center"/>
        <w:rPr>
          <w:rFonts w:ascii="微软雅黑" w:hAnsi="微软雅黑" w:eastAsia="微软雅黑" w:cs="微软雅黑"/>
          <w:b/>
          <w:bCs/>
          <w:color w:val="2D66A5"/>
          <w:sz w:val="48"/>
          <w:szCs w:val="48"/>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枧坝镇</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lang w:val="en-US" w:eastAsia="zh-CN"/>
        </w:rPr>
        <w:t>人民政府</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2022年权责清单</w:t>
      </w:r>
      <w:bookmarkStart w:id="0" w:name="_GoBack"/>
      <w:bookmarkEnd w:id="0"/>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7"/>
        <w:gridCol w:w="285"/>
        <w:gridCol w:w="285"/>
        <w:gridCol w:w="1041"/>
        <w:gridCol w:w="2172"/>
        <w:gridCol w:w="1673"/>
        <w:gridCol w:w="1206"/>
        <w:gridCol w:w="601"/>
        <w:gridCol w:w="795"/>
        <w:gridCol w:w="26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序</w:t>
            </w:r>
            <w:r>
              <w:rPr>
                <w:rStyle w:val="8"/>
                <w:rFonts w:hint="eastAsia" w:ascii="宋体" w:hAnsi="宋体" w:eastAsia="宋体" w:cs="宋体"/>
                <w:b/>
                <w:bCs/>
                <w:color w:val="000000"/>
                <w:kern w:val="0"/>
                <w:sz w:val="24"/>
                <w:szCs w:val="24"/>
                <w:bdr w:val="none" w:color="auto" w:sz="0" w:space="0"/>
                <w:lang w:val="en-US" w:eastAsia="zh-CN" w:bidi="ar"/>
              </w:rPr>
              <w:br w:type="textWrapping"/>
            </w:r>
            <w:r>
              <w:rPr>
                <w:rStyle w:val="8"/>
                <w:rFonts w:hint="eastAsia" w:ascii="宋体" w:hAnsi="宋体" w:eastAsia="宋体" w:cs="宋体"/>
                <w:b/>
                <w:bCs/>
                <w:color w:val="000000"/>
                <w:kern w:val="0"/>
                <w:sz w:val="24"/>
                <w:szCs w:val="24"/>
                <w:bdr w:val="none" w:color="auto" w:sz="0" w:space="0"/>
                <w:lang w:val="en-US" w:eastAsia="zh-CN" w:bidi="ar"/>
              </w:rPr>
              <w:t>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权力</w:t>
            </w:r>
            <w:r>
              <w:rPr>
                <w:rStyle w:val="8"/>
                <w:rFonts w:hint="eastAsia" w:ascii="宋体" w:hAnsi="宋体" w:eastAsia="宋体" w:cs="宋体"/>
                <w:b/>
                <w:bCs/>
                <w:color w:val="000000"/>
                <w:kern w:val="0"/>
                <w:sz w:val="24"/>
                <w:szCs w:val="24"/>
                <w:bdr w:val="none" w:color="auto" w:sz="0" w:space="0"/>
                <w:lang w:val="en-US" w:eastAsia="zh-CN" w:bidi="ar"/>
              </w:rPr>
              <w:br w:type="textWrapping"/>
            </w:r>
            <w:r>
              <w:rPr>
                <w:rStyle w:val="8"/>
                <w:rFonts w:hint="eastAsia" w:ascii="宋体" w:hAnsi="宋体" w:eastAsia="宋体" w:cs="宋体"/>
                <w:b/>
                <w:bCs/>
                <w:color w:val="000000"/>
                <w:kern w:val="0"/>
                <w:sz w:val="24"/>
                <w:szCs w:val="24"/>
                <w:bdr w:val="none" w:color="auto" w:sz="0" w:space="0"/>
                <w:lang w:val="en-US" w:eastAsia="zh-CN" w:bidi="ar"/>
              </w:rPr>
              <w:t>类型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事项编码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权力名称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权力依据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责任事项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责任事项依据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承办</w:t>
            </w:r>
            <w:r>
              <w:rPr>
                <w:rStyle w:val="8"/>
                <w:rFonts w:hint="eastAsia" w:ascii="宋体" w:hAnsi="宋体" w:eastAsia="宋体" w:cs="宋体"/>
                <w:b/>
                <w:bCs/>
                <w:color w:val="000000"/>
                <w:kern w:val="0"/>
                <w:sz w:val="24"/>
                <w:szCs w:val="24"/>
                <w:bdr w:val="none" w:color="auto" w:sz="0" w:space="0"/>
                <w:lang w:val="en-US" w:eastAsia="zh-CN" w:bidi="ar"/>
              </w:rPr>
              <w:br w:type="textWrapping"/>
            </w:r>
            <w:r>
              <w:rPr>
                <w:rStyle w:val="8"/>
                <w:rFonts w:hint="eastAsia" w:ascii="宋体" w:hAnsi="宋体" w:eastAsia="宋体" w:cs="宋体"/>
                <w:b/>
                <w:bCs/>
                <w:color w:val="000000"/>
                <w:kern w:val="0"/>
                <w:sz w:val="24"/>
                <w:szCs w:val="24"/>
                <w:bdr w:val="none" w:color="auto" w:sz="0" w:space="0"/>
                <w:lang w:val="en-US" w:eastAsia="zh-CN" w:bidi="ar"/>
              </w:rPr>
              <w:t>机构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追责对象</w:t>
            </w:r>
            <w:r>
              <w:rPr>
                <w:rStyle w:val="8"/>
                <w:rFonts w:hint="eastAsia" w:ascii="宋体" w:hAnsi="宋体" w:eastAsia="宋体" w:cs="宋体"/>
                <w:b/>
                <w:bCs/>
                <w:color w:val="000000"/>
                <w:kern w:val="0"/>
                <w:sz w:val="24"/>
                <w:szCs w:val="24"/>
                <w:bdr w:val="none" w:color="auto" w:sz="0" w:space="0"/>
                <w:lang w:val="en-US" w:eastAsia="zh-CN" w:bidi="ar"/>
              </w:rPr>
              <w:br w:type="textWrapping"/>
            </w:r>
            <w:r>
              <w:rPr>
                <w:rStyle w:val="8"/>
                <w:rFonts w:hint="eastAsia" w:ascii="宋体" w:hAnsi="宋体" w:eastAsia="宋体" w:cs="宋体"/>
                <w:b/>
                <w:bCs/>
                <w:color w:val="000000"/>
                <w:kern w:val="0"/>
                <w:sz w:val="24"/>
                <w:szCs w:val="24"/>
                <w:bdr w:val="none" w:color="auto" w:sz="0" w:space="0"/>
                <w:lang w:val="en-US" w:eastAsia="zh-CN" w:bidi="ar"/>
              </w:rPr>
              <w:t>范围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bCs/>
                <w:color w:val="000000"/>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仿宋" w:hAnsi="仿宋" w:eastAsia="仿宋" w:cs="仿宋"/>
                <w:b/>
                <w:bCs/>
                <w:color w:val="000000"/>
                <w:kern w:val="0"/>
                <w:sz w:val="15"/>
                <w:szCs w:val="15"/>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农民集体所有的土地由本集体经济组织以外的单位或者个人承包经营批准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4.送达责任：在规定期限内向申请人送达行政许可证件；建立信息档案；公开有关信息。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在承包经营期内，对承包经营者使用的草原进行微调的批准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4.送达责任：在规定期限内向申请人送达行政许可证件；建立信息档案；公开有关信息。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对草原由本集体经济组织以外的单位或者个人承包经营的批准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4.送达责任：在规定期限内向申请人送达行政许可证件；建立信息档案；公开有关信息。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在村庄、集镇规划区修建临时建筑物、构筑物和其他设施的许可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《村庄和集镇规划建设管理条例》第三十二条 未经乡镇人民政府批准，任何单位和个人不得擅自在村庄、集镇规划区的街道、广场、市场和车站等场所修建临时建筑物、构筑物和其他设施。</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4.送达责任：在规定期限内向申请人送达行政许可证件；建立信息档案；公开有关信息。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对农村居民未经批准或者违反规划的规定修建住宅的处罚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农村居民未经批准或者违反规划的规定建住宅的，乡级人民政府可以依照前款规定处罚。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一般程序：</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6.送达责任：行政处罚决定书在决定后七日内依照《民事诉讼法》的有关规定送达当事人。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8.法律法规规章文件规定应履行的其他责任。</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简易程序：</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1.调查责任：收集证据，查明事实，向当事人出示证件，执法人员与当事人有利害关系的，应当回避。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4.送达责任：当场交付当事人。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5.备案责任：执法人员当场作出处罚决定后，必须报所属行政机关备案。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自然资源所，村建中心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对损坏村庄和集镇的房屋、公共设施的行政处罚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《村庄和集镇规划建设管理条例》第三十九条 有下列行为之一的，由乡级人民政府责令停止侵害，可以处以罚款；造成损失的，并应当赔偿：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（一）损坏村庄和集镇的房屋、公共设施的。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（二）乱堆粪便、垃圾、柴草，破坏村容镇貌和环境卫生的。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一般程序：</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6.送达责任：行政处罚决定书在决定后七日内依照《民事诉讼法》的有关规定送达当事人。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8.法律法规规章文件规定应履行的其他责任。</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简易程序：</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1.调查责任：收集证据，查明事实，向当事人出示证件，执法人员与当事人有利害关系的，应当回避。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4.送达责任：当场交付当事人。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5.备案责任：执法人员当场作出处罚决定后，必须报所属行政机关备案。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对擅自在村庄、集镇规划区内的街道、广场、市场和车站等场所修建临时建筑物、构筑物和其他设施的处罚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《村庄和集镇规划建设管理条例》第四十条 擅自在村庄、集镇规划区内的街道、广场、市场和车站等场所修建临时建筑物、构筑物和其他设施的，由乡级人民政府责令限期拆除，并可处以罚款。</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一般程序：</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6.送达责任：行政处罚决定书在决定后七日内依照《民事诉讼法》的有关规定送达当事人。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8.法律法规规章文件规定应履行的其他责任。</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简易程序：</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1.调查责任：收集证据，查明事实，向当事人出示证件，执法人员与当事人有利害关系的，应当回避。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4.送达责任：当场交付当事人。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5.备案责任：执法人员当场作出处罚决定后，必须报所属行政机关备案。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对单位和个人损坏或者擅自移动有钉螺地带警示标志的处罚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6.送达责任：行政处罚决定书在决定后七日内依照《民事诉讼法》的有关规定送达当事人。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8.法律法规规章文件规定应履行的其他责任。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卫生院</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2.审查责任：案件承办机构负责人对办案人员提出的采取行政强制的理由、种类、依据进行审查。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4.执行责任：制作并送达查封（扣押、冻结）决定书，妥善保管有关财物。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村建中心、国土所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2.审查责任：案件承办机构负责人对办案人员提出的采取行政强制的理由、种类、依据进行审查。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4.执行责任：制作并送达查封（扣押、冻结）决定书，妥善保管有关财物。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国土所、派出所、供电所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责令拆除未经煤矿企业同意修建建筑物、构筑物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《中华人民共和国煤炭法》第五十二条　未经煤矿企业同意，任何单位或者个人不得在煤矿企业依法取得土地使用权的有效期间内在该土地上种植、养殖、取土或者修建建筑物、构筑物。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2.审查责任：案件承办机构负责人对办案人员提出的采取行政强制的理由、种类、依据进行审查。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4.执行责任：制作并送达查封（扣押、冻结）决定书，妥善保管有关财物。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自然资源所、安监站、派出所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对非法种植毒品原植物的处置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2.审查责任：案件承办机构负责人对办案人员提出的采取行政强制的理由、种类、依据进行审查。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4.执行责任：制作并送达查封（扣押、冻结）决定书，妥善保管有关财物。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对家庭经济困难的适龄儿童、少年免费提供教科书并补助寄宿生生活费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《中华人民共和国义务教育法》第四十四条第二款各级人民政府对家庭经济困难的适龄儿童、少年免费提供教科书并补助寄宿生生活费。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3.决定责任：作出给付的行政决定，依法送达。</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《中华人民共和国义务教育法》第四十四条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对生活困难残疾人、对贫困残疾人、对生活不能自理残疾人的救助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《中华人民共和国残疾人保障法》第四十八条第一款 各级人民政府对生活确有困难的残疾人，通过多种渠道给予生活、教育、住房和其他社会救助。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第四十八条第四款款 对生活不能自理的残疾人，地方各级人民政府应当根据情况给予护理补贴。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3.决定责任：作出给付的行政决定，依法送达。</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《中华人民共和国残疾人保障法》第四十八条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对特殊老年人的供养或救助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3.决定责任：作出给付的行政决定，依法送达。</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《中华人民共和国老年人权益保障法》第三十一条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军人抚恤优待</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《军人抚恤优待条例》第三十三条　义务兵服现役期间，其家庭由当地人民政府发给优待金或者给予其他优待，优待标准不低于当地平均生活水平。</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3.决定责任：作出给付的行政决定，依法送达。</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《军人抚恤优待条例》第三十三条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退役军人事务站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对城市生活无着的流浪乞讨人员的救助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3.决定责任：作出给付的行政决定，依法送达。</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《城市生活无着的流浪乞讨人员救助管理办法实施细则》(民政部令第24号)第十八条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独生子女入托费、入学费及医疗费等的酌情补助或减免</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《贵州省人口和计划生育条例》第五十六条第一款第（四）项 有条件的单位、乡镇人民政府、街道办事处(社区)可以酌情补助或者减免独生子女的入托费、入学费、医疗费等。</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3.决定责任：对符合条件的依法进行办理。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《贵州省人口和计划生育条例》第五十六条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计划生育办公室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对生产经营单位安全生产状况的监督检查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《中华人民共和国安全生产法》第八条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安监站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消防安全监督检查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《中华人民共和国消防法》第三十一条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安监站、派出所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草原防火监督检查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《草原防火条例》第七条　草原防火工作涉及两个以上行政区域或者涉及森林防火、城市消防的，有关地方人民政府及有关部门应当建立联防制度，确定联防区域，制定联防措施，加强信息沟通和监督检查。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《草原防火条例》第七条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林业站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查验现居住地成年流动人口婚育证明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对用人单位流动人口计划生育工作的检查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《流动人口计划生育工作条例》第十五条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对适龄儿童、少年接受义务教育情况的检查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《贵州省义务教育条例》第二十四条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乡镇渡口渡船安全监督检查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《内河渡口渡船安全管理规定》（交通运输部令第9号）第三十五条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对自用船舶适航性的检查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《贵州省乡镇自用船舶安全管理办法》(省人民政府令第120号)第二十条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婚姻登记</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《婚姻法》第八条 要求结婚的男女双方必须亲自到婚姻登记机关进行结婚登记。符合本法规定的，予以登记，发给结婚证。取得结婚证，即确立夫妻关系。未办理结婚登记的，应当补办登记。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第三十一条 男女双方自愿离婚的，准予离婚。双方必须到婚姻登记机关申请离婚。婚姻登记机关查明双方确实是自愿并对子女和财产问题已有适当处理时，发给离婚证。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第八条　男女双方补办结婚登记的，适用本条例结婚登记的规定。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2.审查责任：对相对人提交的材料进行审查，提出审查意见。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3.决定责任：在规定期限内作出书面决定（不予确认的应说明理由）。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4.送达责任：在规定期限内制作并向申请人送达法律证件。</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《婚姻法》第八条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对调整村民小组设置的批准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2.审查责任：根据有关法律法规规定对申请材料进行审核。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《贵州省实施&lt;中华人民共和国村民委员会组织法&gt;办法》第十三条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社事办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29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流动人口婚育证明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2.审查责任：根据有关法律法规规定对申请材料进行审核。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《流动人口计划生育工作条例》（国务院令第555号）第七条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流动人口避孕节育情况证明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2.审查责任：根据有关法律法规规定对申请材料进行审核。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《流动人口计划生育工作条例》（国务院令第555号令）第十三条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兵役登记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2.事后监管责任：建立实施监督检查的运行机制和管理制度，加强监管。建立档案，公开兵役登记信息；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《征兵工作条例》第十二条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人武部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群众购买毒性中药证明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2.审查责任：根据《医疗用毒性药品管理办法》对购买毒性中药证明材料进行审核。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《医疗用毒性药品管理办法》（国务院令第23号令）第十条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卫生院</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法律援助申请人家庭经济状况证明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《贵州省法律援助条例》第二十条 申请法律援助应当如实提交下列材料：</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2.审查责任：根据有关法律法规规定对申请材料进行审核。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《贵州省法律援助条例》第二十条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司法所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劳动者从事个体经营或灵活就业的就业登记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1.受理环节责任：公示依法应当提交的材料；一次性告知补正材料；依法确认或不予确认（不予确认应当告知理由）。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3.送达环节责任：发放就业登记证。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4.事后监管责任：建立档案，公开信息；加强监管、防止弄虚作假。</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《就业服务与就业管理规定》（人力资源和社会保障部令第23号）第六十二条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人资中心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1.受理责任：对申报材料进行受理。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2.审查责任:对奖励对象的材料进行审核。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3.公示责任：对符合条件的推荐对象进行公示。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4.决定责任:按照程序报请研究审定，依法进行奖励。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《中华人民共和国残疾人保障法》第十三条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对在人口与计划生育工作中有突出成绩或者特殊贡献的组织和个人的奖励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《贵州省人口与计划生育条例》第八条 各级人民政府对在人口与计划生育工作中有突出成绩或者特殊贡献的组织和个人,应当给予表彰和奖励。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 受理责任：对申报材料进行受理。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2．审查责任:对奖励对象的材料进行审核。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 公示责任：对符合条件的推荐对象进行公示。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4．决定责任:按照程序报请研究审定，依法进行奖励。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 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《贵州省人口与计划生育条例》第八条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对个人之间、个人与单位之间土地权属争议的处理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1.受理责任：公示申请条件、法定期限、需要提供的申请书及其他资料，一次性告知补正材料。</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4.事后监管责任：监督当事人严格履行生效裁决书的有关内容。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司法所，农业服务中心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对个人之间、个人与单位之间草原所有权、使用权争议处理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1.受理责任：公示申请条件、法定期限、需要提供的申请书及其他资料，一次性告知补正材料。</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4.事后监管责任：监督当事人严格履行生效裁决书的有关内容。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《中华人民共和国草原法》第十六条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司法所，农业服务中心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39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对个人之间、个人与单位之间林木所有权、林地使用权争议的处理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1.受理责任：公示申请条件、法定期限、需要提供的申请书及其他资料，一次性告知补正材料。</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4.事后监管责任：监督当事人严格履行生效裁决书的有关内容。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《中华人民共和国森林法》第十七条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司法所，林业站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适龄儿童、少年因身体状况需要延缓入学或者休学的批准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2.审查责任：对相对人人提交的材料进行审查，提出审查意见。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3.决定责任：在规定期限内作出书面决定（不予确认的应说明理由）。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《中华人民共和国义务教育法》第十一条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乡镇煤矿安全生产监督管理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《乡镇煤矿管理条例》第十八条  县级、乡级人民政府应当加强对乡镇煤矿安全生产工作的监督管理，保证煤矿生产的安全。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1.检查责任：按照法律法规、规章规定和法定程序实施监督检查，检查人员不得少于2人，并应出示行政执法证件。</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《乡镇煤矿管理条例》第十八条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安监站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食品摊贩从事食品生产经营活动备案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b/>
                <w:bCs/>
                <w:color w:val="000000"/>
                <w:kern w:val="0"/>
                <w:sz w:val="24"/>
                <w:szCs w:val="24"/>
                <w:bdr w:val="none" w:color="auto" w:sz="0" w:space="0"/>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3.决定责任：在规定期限内作出备案登记。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4.监管责任：建立信息档案；公开有关信息；建立实施监督检查的运行机制和管理制度，加强监管。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《贵州省食品安全条例》第四十四条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市场监督管理分局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在乡道、村道的出入口设置限高、限宽设施</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1.调研责任：对是否需要设置限高、限宽设施进行调研。</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2.组织实施责任：对确认需设置的，组织实施。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《公路安全保护条例》第三十四条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经发办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责成有关部门改建碍航建筑物或者限期补建过船、过木、过鱼建筑物，清除淤积，恢复通航</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4.决定责任：作出责成有关部门改建碍航建筑物或者限期补建过船、过木、过鱼建筑物，清除淤积，恢复通航的决定。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5.执行责任：督促有关部门履行的行政决定，对逾期不履行的，依照有关规定处理。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《中华人民共和国航道管理条例》 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水利站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乡镇自用船舶申请检丈、登记</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《贵州省乡镇自用船舶安全管理办法》（省人民政府令第120号）第十二条 乡镇自用船舶的船主应当向所在地的乡（镇）人民政府申请船舶检丈、登记，并提交下列材料：</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（一）乡镇自用船舶检丈、登记申请表；</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（二）船主身份证明文件；</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（三）购置发票、建造协议或者村（居）民委员会出具的船舶合法来源证明。</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2.检丈审查责任：对船舶进行检测丈量，对申请人提交的申请材料进行审查，提出审查意见。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4.事后监管责任：建立信息档案；公开有关信息；建立实施监督检查的运行机制和管理制度，加强监管。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《贵州省乡镇自用船舶安全管理办法》（省人民政府令第120号）第十二条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水利站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乡镇自用船舶登记证书签注</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《贵州省乡镇自用船舶安全管理办法》（省人民政府令第120号）第十七条 乡（镇）人民政府对符合第十六条规定条件的人员应当在《贵州省乡镇自用船舶登记证书》上给予签注。</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3.决定责任：在规定期限内予以签注或不予签注；不予签注的应告知理由，并告知相对人申请复议或提起行政诉讼的权利。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4.事后监管责任：建立信息档案；公开有关信息；建立实施监督检查的运行机制和管理制度，加强监管。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《贵州省乡镇自用船舶安全管理办法》（省人民政府令第120号）第十七条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责令限期拖离不适航且无修复价值的乡镇自用船舶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《贵州省乡镇自用船舶安全管理办法》（省人民政府令第120号）第二十二条 不适航且无修复价值的乡镇自用船舶，船主应当及时将其拖离航行水域，消除事故隐患。未拖离的，由乡（镇）人民政府责令限期拖离。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3.审查责任：对案件的相关事实、收集的证据、办案的程序、当事人的陈述申辩理由等进行审查，提出处理意见。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5.送达责任：决定书在决定后七日内依照《民事诉讼法》的有关规定送达当事人。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6.执行责任：督促当事人履行生效的决定，对逾期不履行的，依照《中华人民共和国行政强制法》的规定执行。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《贵州省乡镇自用船舶安全管理办法》（省人民政府令第120号）第二十二条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乡村建设规划许可初审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3.呈报责任：在规定期限内将初步审查意见和全部申请材料报送县级人民政府城乡规划主管部门审查。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《中华人民共和国城乡规划法》第四十一条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村民在村庄、集镇规划区内，需使用耕地修建住宅申请的审查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《村庄和集镇规划建设管理条例》第十八条 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3.呈报责任：在规定期限内将初步审查意见和全部申请材料直接报送县级人民政府建设行政主管部门审查。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村民在村庄、集镇规划区内，使用原有宅基地、村内空闲地和其他土地修建住宅申请的批准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（二）使用原有宅基地、村内空闲地和其他土地的，由乡级人民政府根据村庄、集镇规划和土地利用规划批准。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4.送达责任：在规定期限内向申请人送达批准证件；建立信息档案；公开有关信息。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生育服务登记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《流动人口计划生育工作条例》第十六条 育龄夫妻生育第一个子女的，可以在现居住地的乡（镇）人民政府或者街道办事处办理生育服务登记。办理生育服务登记，应当提供下列证明材料：</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（一）夫妻双方的居民身份证；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（二）结婚证；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（三）女方的婚育证明和男方户籍所在地的乡（镇）人民政府或者街道办事处出具的婚育情况证明材料。</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3.决定责任：在规定期限内作出登记或不予登记的书面决定；不予登记的应告知理由。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4.送达责任：在规定期限内向申请人送达登记证明；建立信息档案；公开有关信息。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《流动人口计划生育工作条例》第十六条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病残儿医学鉴定审核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3.呈报责任：在规定期限内将初步审查意见和全部申请材料直接报送县级计划生育行政部门。</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《病残儿医学鉴定管理办法》（国家计划生育委员会令第7号）第十三条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对新生儿在医疗保健机构以外地点死亡的核查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1.核查责任：根据监护人的报告，按照有关规定进行核查。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2.处置责任：根据有关规定作出相应处置措施。并向乡镇卫生院或社区卫生服务中心通报有关信息。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对侵占、破坏学校体育场地、器材、设备的单位或者个人限期清退和修复场地、赔偿或者修复器材、设备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6.送达责任：行政处理决定书在决定后七日内依照《民事诉讼法》的有关规定送达当事人。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8.法律法规规章文件规定应履行的其他责任。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《学校体育工作条例》（国家教育委员会令第8号）第二十八条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农村幼儿园举办、停办的登记注册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4.事后监管责任：建立信息档案；公开有关信息；建立实施监督检查的运行机制和管理制度，加强监管。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《幼儿园管理条例》（国家教育委员会令第4号）第十二条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对业主大会、业主委员会违法违规作出决定的责令改正或者撤销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《物业管理条例》第十九条第二款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1.审查责任：对业主大会、业主委员会作出的决定进行审查。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2.处置责任：发现业主大会、业主委员会作出的决定违反法律、法规的，作出责令限期改正或撤销决定。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3.事后监管责任：督促业主大会、业主委员会履行生效的决定。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《物业管理条例》第十九条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村建中心、国土所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前期物业服务合同备案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3.决定责任：在规定期限内作出备案登记。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4.监管责任：建立信息档案；公开有关信息；建立实施监督检查的运行机制和管理制度，加强监管。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《贵州省物业管理条例》第五十条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廉租住房保障申请初审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《廉租住房保障办法》（建设部令第162号）第十七条第一款 申请廉租住房保障，按照下列程序办理：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（一）申请廉租住房保障的家庭，应当由户主向户口所在地街道办事处或者镇人民政府提出书面申请；</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3.呈报责任：在规定期限内将初步审查意见和全部申请材料报送县级人民政府建设（住房保障）部门审核。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《廉租住房保障办法》（建设部令第162号）第十七条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村规民约备案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《中华人民共和国村民委员会组织法》第二十七条第一款　村民会议可以制定和修改村民自治章程、村规民约，并报乡、民族乡、镇的人民政府备案。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3.决定责任：在规定期限内作出备案登记。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4.监管责任：建立信息档案；公开有关信息；建立实施监督检查的运行机制和管理制度，加强监管。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《中华人民共和国村民委员会组织法》第二十七条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监督社区戒毒人员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《贵州省禁毒条例》第十条 城市街道办事处(社区)、乡镇人民政府负责社区戒毒、社区康复工作，指导居民委员会、村民委员会做好禁种、禁制、禁贩、禁吸毒品的教育宣传，落实禁毒防范措施。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1.检查责任：根据有关情况对社区戒毒人员情意况进行检查。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《中华人民共和国禁毒法》第三十九条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对居民住房恢复重建补助对象的审核</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3.呈报责任：在规定期限内将初步审查意见和全部申请材料直接报送县级人民政府民政等部门审批。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《自然灾害救助条例》第二十条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对设置农村村民公益性墓地审核</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《殡葬管理条例》第八条第三款 农村为村民设置公益性墓地，经乡级人民政府审核同意后，报县级人民政府民政部门审批。</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殡葬管理条例》第八条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城乡居民申请最低生活保障待遇审核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2.审查责任：对申请人提交的申请材料进行审查核实，提出初步审查意见。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3.呈报责任：在规定期限内将初步审查意见和全部申请材料报送县级人民政府民政部门审批。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《社会救助暂行办法》（国务院令第649号）第四条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特困人员供养待遇及核销的审核</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特困人员供养的审批程序适用本办法第十一条规定。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社会救助暂行办法》（国务院令第649号）第十六条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医疗救助初审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2.审查责任：对申请人提交的申请材料进行审查，提出初步审查意见，并公示。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《社会救助暂行办法》（国务院令第649号）第三十条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临时救助初审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《社会救助暂行办法》（国务院令第649号）第四十八条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对五保供养服务不符合要求的责令限期改正及终止供养服务协议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《农村五保供养工作条例》第二十四条 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对五保对象入农村敬老院的批准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4.送达责任：在规定期限内向申请人送达批准的证明；建立信息档案；公开有关信息。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《农村敬老院管理暂行办法》（民政部令第1号）第八条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伤残抚恤对象残疾等级评定的审核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《伤残抚恤管理办法》（民政部令第50号） 第五条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受理进入光荣院集中供养的申请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3.事后监管责任：建立实施监督检查的运行机制和管理制度，加强监管。建立信息档案；公开有关信息。</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《光荣院管理办法》（民政部令第40号） 第八条 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b/>
                <w:bCs/>
                <w:color w:val="000000"/>
                <w:kern w:val="0"/>
                <w:sz w:val="24"/>
                <w:szCs w:val="24"/>
                <w:bdr w:val="none" w:color="auto" w:sz="0" w:space="0"/>
                <w:lang w:val="en-US" w:eastAsia="zh-CN" w:bidi="ar"/>
              </w:rPr>
              <w:t>自然灾害救助款物的发放审核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3.呈报责任：在规定期限内将初步审查意见和全部申请材料直接报送县级人民政府民政部门。</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《贵州省自然灾害救助款物管理办法》（省人民政府令第103号）第十六条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为应对突发事件征用单位和个人的财产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1.作出征用决定责任：根据应对突发事件的需要，作出征用决定。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2.返还或补偿责任：使用完毕或处置工作结束后及时返还或补偿。</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《中华人民共和国突发事件应对法》第十二条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执行民间纠纷案处理决定决定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《中华人民共和国突发事件应对法》第二十一条 县级人民政府及其有关部门、乡级人民政府、街道办事处、居民委员会、村民委员会应当及时调解处理可能引发社会安全事件的矛盾纠纷。</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1.矛盾纠纷排查责任：定期或不定期排查相关矛盾纠纷。</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3.告知责任：告知当事人在乡镇政府做出纠纷处理决定后其权利和义务；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3.执行责任：督促当事人履行生行政处理决定，对逾期不履行的，依照有关规定执行。</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《中华人民共和国突发事件应对法》第二十一条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《民间纠纷处理办法》第二十一条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综治办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对土地承包经营期限内，承包经营者之间承包土地进行调整的批准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3.转送责任：在规定期限内将审查意见和全部申请材料报送县级人民政府农业行政主管部门批准。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采取措施实施土地整理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1.拟定整理方案责任：开展调研，拟定整理方案。</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2.公示整理方案责任：公示整理方案，征求意见。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3.审查决定责任：对整理方案进行审查，经集体讨论作出整理决定。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4.组织实施责任：按方案组织实施。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5.验收责任：根据方案规定的整理标准进行验收。</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《中华人民共和国土地管理法》第三十五条、第四十一条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《中华人民共和国土地管理法实施条例》第十八条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对乡(镇)村公共设施、公益事业建设用地的审核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3.呈报责任：在规定期限内将初步审查意见和全部申请材料报送县级人民政府土地行政主管部门。</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 第六十一条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农村居民住宅用地审核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《中华人民共和国土地管理法》第六十二条 农村村民一户只能拥有一处宅基地，其宅基地的面积不得超过省、自治区、直辖市规定的标准。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农村村民建住宅，应当符合乡（镇）土地利用总体规划，并尽量使用原有的宅基地和村内空闲地。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农村村民出卖、出租住房后，再申请宅基地的，不予批准。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2.审查责任：对申请人提交的申请材料进行审查，提出初审意见。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3.呈报责任：在规定期限内将审核意见和全部申请材料报送县级人民政府批准。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《中华人民共和国土地管理法》第六十二条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国土所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对在村庄、集镇规划区内，违法占地的，责令退回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1.检查责任：按照法律法规、规章规定和法定程序实施检查，检查人员不得少于2人。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《村庄和集镇规划建设管理条例》第三十六条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对农产品生产活动的指导、监管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1.检查责任：按照法律法规、规章规定和法定程序实施检查，检查人员不得少于2人，并应出示行政执法证件。</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2.处置责任：根据有关规定作出相应处置措施。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《贵州省农产品质量安全条例》第五条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对实行家庭承包方式的农村土地承包经营权颁证的审核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2.审查责任：对申请人提交的申请材料进行审查，提出初审意见。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3.呈报责任：在规定期限内将初审意见和全部申请材料报送县级人民政府农业行政主管部门审核。</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《中华人民共和国农村土地承包经营权证管理办法》（农业部令第33号）第七条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对以招标、拍卖、公开协商等方式承包农村土地办理农村土地承包经营权证的初审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《中华人民共和国农村土地承包经营权证管理办法》（农业部令第33号）第八条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换发、补发农村土地承包经营权证的审核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3.转送责任：在规定期限内将审查意见和全部申请材料报送原发证机关办理换发、补发手续。</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《中华人民共和国农村土地承包经营权证管理办法》（农业部令第33号）第十七条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土地承包经营权流转合同备案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3.决定责任：在规定期限内作出备案登记。</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4.监管责任：建立信息档案；公开有关信息；建立实施监督检查的运行机制和管理制度，加强监管。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《农村土地承包经营权流转管理办法》（农业部令第47号）第二十一条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组织开展动物疫病强制免疫</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《中华人民共和国动物防疫法》第六条 乡级人民政府、城市街道办事处应当组织群众协助做好本管辖区域内的动物疫病预防与控制工作。</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第十四条 乡级人民政府、城市街道办事处应当组织本管辖区域内饲养动物的单位和个人做好强制免疫工作。</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第六十三条 县级人民政府和乡级人民政府应当采取有效措施，加强村级防疫员队伍建设。</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  县级人民政府兽医主管部门可以根据动物防疫工作需要，向乡、镇或者特定区域派驻兽医机构。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3.现场检查动物疾病强制免疫情况；</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《中华人民共和国动物防疫法》第六条、第六十三条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捕杀狂犬、野犬</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1.建立队伍责任：组建应急队伍，制定应急方案，并在辖区内加大宣传力度，公开联系方式。</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3.善后责任：加大受伤人员的紧急医治工作；对被捕杀的狂犬、野犬进行妥善处置。</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4.报告责任：如出现狂犬、野犬较多的情况，及时上报县级政府动物卫生部门。</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《中华人民共和国传染病防治法实施办法》第二十九条第（三）项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对危害文物保护单位安全、破坏文物保护单位历史风貌的建筑物、构筑物的拆迁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1.调查研究责任：对可能危害文物保护单位安全、破坏文物保护单位历史风貌的建筑物、构筑物进行调查。</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2.决定责任：对危害文物保护单位安全、破坏文物保护单位历史风貌的建筑物、构筑物作出处理决定。</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3.组织实施责任：根据处理决定组织实施。</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《文物保护法》第二十六条第二款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设立乡村集体所有制企业的审核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《中华人民共和国乡村集体所有制企业条例》第十四条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市场监督管理分局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耕地占用税免征或者减征审核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2.审查责任：对申请人提交的申请材料进行审查，提出初审意见。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3.呈报责任：在规定期限内将审核意见和全部申请材料报送县级人民政府批准。</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《中华人民共和国耕地占用税暂行条例》第十条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color w:val="000000"/>
                <w:kern w:val="0"/>
                <w:sz w:val="15"/>
                <w:szCs w:val="15"/>
                <w:bdr w:val="none" w:color="auto" w:sz="0" w:space="0"/>
                <w:lang w:val="en-US" w:eastAsia="zh-CN" w:bidi="ar"/>
              </w:rPr>
              <w:t>89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设立健身气功站点的审核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3.呈报责任：在规定期限内将初步审查意见和全部申请材料报送当地具有相应管辖权限的体育行政部门审批。</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《健身气功管理办法》（国家体育总局令第9号）第十七条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24"/>
                <w:szCs w:val="24"/>
                <w:bdr w:val="none" w:color="auto" w:sz="0" w:space="0"/>
                <w:lang w:val="en-US" w:eastAsia="zh-CN" w:bidi="ar"/>
              </w:rPr>
              <w:t>文化服务中心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color w:val="000000"/>
                <w:kern w:val="0"/>
                <w:sz w:val="24"/>
                <w:szCs w:val="24"/>
                <w:bdr w:val="none" w:color="auto" w:sz="0" w:space="0"/>
                <w:lang w:val="en-US" w:eastAsia="zh-CN" w:bidi="ar"/>
              </w:rPr>
              <w:t>乡（镇）法定代表人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分管负责人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承办机构负责人</w:t>
            </w:r>
            <w:r>
              <w:rPr>
                <w:rFonts w:hint="eastAsia" w:ascii="宋体" w:hAnsi="宋体" w:eastAsia="宋体" w:cs="宋体"/>
                <w:b/>
                <w:bCs/>
                <w:color w:val="000000"/>
                <w:kern w:val="0"/>
                <w:sz w:val="24"/>
                <w:szCs w:val="24"/>
                <w:bdr w:val="none" w:color="auto" w:sz="0" w:space="0"/>
                <w:lang w:val="en-US" w:eastAsia="zh-CN" w:bidi="ar"/>
              </w:rPr>
              <w:br w:type="textWrapping"/>
            </w:r>
            <w:r>
              <w:rPr>
                <w:rFonts w:hint="eastAsia" w:ascii="宋体" w:hAnsi="宋体" w:eastAsia="宋体" w:cs="宋体"/>
                <w:b/>
                <w:bCs/>
                <w:color w:val="000000"/>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10"/>
      </w:pPr>
      <w:r>
        <w:t>窗体顶端</w:t>
      </w:r>
    </w:p>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648549e2-ca81-438d-9b16-5f5171bf3823"/>
  </w:docVars>
  <w:rsids>
    <w:rsidRoot w:val="15242C9B"/>
    <w:rsid w:val="15242C9B"/>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Strong"/>
    <w:basedOn w:val="7"/>
    <w:qFormat/>
    <w:uiPriority w:val="0"/>
    <w:rPr>
      <w:b/>
    </w:rPr>
  </w:style>
  <w:style w:type="character" w:styleId="9">
    <w:name w:val="Emphasis"/>
    <w:basedOn w:val="7"/>
    <w:qFormat/>
    <w:uiPriority w:val="0"/>
    <w:rPr>
      <w:i/>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2024-01-05T03:44:00Z</dcterms:created>
  <dc:creator>17785269434</dc:creator>
  <cp:lastModifiedBy>17785269434</cp:lastModifiedBy>
  <dcterms:modified xsi:type="dcterms:W3CDTF">2024-01-05T03:46:14Z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37F155BEF42F45249303BCFAB5B6DA6E_11</vt:lpwstr>
  </property>
</Properties>
</file>