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570" w:beforeAutospacing="0" w:after="225" w:afterAutospacing="0" w:line="240" w:lineRule="auto"/>
        <w:ind w:left="0" w:right="0" w:firstLine="0"/>
        <w:jc w:val="center"/>
        <w:textAlignment w:val="auto"/>
        <w:rPr>
          <w:rFonts w:ascii="微软雅黑" w:hAnsi="微软雅黑" w:eastAsia="微软雅黑" w:cs="微软雅黑"/>
          <w:i w:val="0"/>
          <w:iCs w:val="0"/>
          <w:caps w:val="0"/>
          <w:color w:val="auto"/>
          <w:spacing w:val="0"/>
          <w:sz w:val="22"/>
          <w:szCs w:val="22"/>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风华镇人民政府</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lang w:val="en-US" w:eastAsia="zh-CN"/>
        </w:rPr>
        <w:t>2022年</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权责清单</w:t>
      </w:r>
      <w:bookmarkStart w:id="0" w:name="_GoBack"/>
      <w:bookmarkEnd w:id="0"/>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2"/>
        <w:gridCol w:w="547"/>
        <w:gridCol w:w="795"/>
        <w:gridCol w:w="2035"/>
        <w:gridCol w:w="3060"/>
        <w:gridCol w:w="1049"/>
        <w:gridCol w:w="554"/>
        <w:gridCol w:w="5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9945" w:type="dxa"/>
            <w:gridSpan w:val="8"/>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4"/>
                <w:szCs w:val="24"/>
              </w:rPr>
            </w:pPr>
            <w:r>
              <w:rPr>
                <w:rFonts w:ascii="方正小标宋简体" w:hAnsi="方正小标宋简体" w:eastAsia="方正小标宋简体" w:cs="方正小标宋简体"/>
                <w:b/>
                <w:bCs/>
                <w:color w:val="auto"/>
                <w:sz w:val="43"/>
                <w:szCs w:val="43"/>
                <w:bdr w:val="none" w:color="auto" w:sz="0" w:space="0"/>
              </w:rPr>
              <w:t>风华镇人民政府权责清单（202</w:t>
            </w:r>
            <w:r>
              <w:rPr>
                <w:rFonts w:hint="eastAsia" w:ascii="方正小标宋简体" w:hAnsi="方正小标宋简体" w:eastAsia="方正小标宋简体" w:cs="方正小标宋简体"/>
                <w:b/>
                <w:bCs/>
                <w:color w:val="auto"/>
                <w:sz w:val="43"/>
                <w:szCs w:val="43"/>
                <w:bdr w:val="none" w:color="auto" w:sz="0" w:space="0"/>
              </w:rPr>
              <w:t>2年）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序</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号</w:t>
            </w:r>
          </w:p>
        </w:tc>
        <w:tc>
          <w:tcPr>
            <w:tcW w:w="555"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权力</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类型</w:t>
            </w:r>
          </w:p>
        </w:tc>
        <w:tc>
          <w:tcPr>
            <w:tcW w:w="810"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权力名称</w:t>
            </w:r>
          </w:p>
        </w:tc>
        <w:tc>
          <w:tcPr>
            <w:tcW w:w="2955"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权力依据</w:t>
            </w:r>
          </w:p>
        </w:tc>
        <w:tc>
          <w:tcPr>
            <w:tcW w:w="2850"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责任事项</w:t>
            </w:r>
          </w:p>
        </w:tc>
        <w:tc>
          <w:tcPr>
            <w:tcW w:w="1080"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责任事项依据</w:t>
            </w:r>
          </w:p>
        </w:tc>
        <w:tc>
          <w:tcPr>
            <w:tcW w:w="570"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承办</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机构</w:t>
            </w:r>
          </w:p>
        </w:tc>
        <w:tc>
          <w:tcPr>
            <w:tcW w:w="555" w:type="dxa"/>
            <w:tcBorders>
              <w:top w:val="outset" w:color="auto" w:sz="6" w:space="0"/>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追责对象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农民集体所有的土地由本集体经济组织以外的单位或者个人承包经营批准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4.送达责任：在规定期限内向申请人送达行政许可证件；建立信息档案；公开有关信息。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《行政许可法》第三十、三十二、三十四、三十七、三十八、三十九、四十、四十二、四十四、六十一条。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在承包经营期内，对承包经营者使用的草原进行微调的批准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4.送达责任：在规定期限内向申请人送达行政许可证件；建立信息档案；公开有关信息。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《行政许可法》第三十、三十二、三十四、三十七、三十八、三十九、四十、四十二、四十四、六十一条。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对草原由本集体经济组织以外的单位或者个人承包经营的批准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4.送达责任：在规定期限内向申请人送达行政许可证件；建立信息档案；公开有关信息。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《行政许可法》第三十、三十二、三十四、三十七、三十八、三十九、四十、四十二、四十四、六十一条。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在村庄、集镇规划区修建临时建筑物、构筑物和其他设施的许可</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4.送达责任：在规定期限内向申请人送达行政许可证件；建立信息档案；公开有关信息。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《行政许可法》第三十、三十二、三十四、三十七、三十八、三十九、四十、四十二、四十四、六十一条。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对农村居民未经批准或者违反规划的规定修建住宅的处罚</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农村居民未经批准或者违反规划的规定建住宅的，乡级人民政府可以依照前款规定处罚。</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6.送达责任：行政处罚决定书在决定后七日内依照民事诉讼法的有关规定送达当事人。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7.执行责任：督促当事人履行生效的行政处罚决定，对逾期不履行的，依照《中华人民共和国行政强制法》的规定执行。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8.法律法规规章文件规定应履行的其他责任。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《行政处罚法》第十五、三十一、三十七、三十八、三十九、四十、四十二条。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对损坏村庄和集镇的房屋、公共设施的行政处罚</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《村庄和集镇规划建设管理条例》（国务院令第116条）第三十九条 有下列行为之一的，由乡级人民政府责令停止侵害，可以处以罚款；造成损失的，并应当赔偿：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（一）损坏村庄和集镇的房屋、公共设施的。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（二）乱堆粪便、垃圾、柴草，破坏村容镇貌和环境卫生的。</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6.送达责任：行政处罚决定书在决定后七日内依照民事诉讼法的有关规定送达当事人。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7.执行责任：督促当事人履行生效的行政处罚决定，对逾期不履行的，依照《中华人民共和国行政强制法》的规定执行。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8.法律法规规章文件规定应履行的其他责任。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《行政处罚法》第十五、三十一、三十七、三十八、三十九、四十、四十二条。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对擅自在村庄、集镇规划区内的街道、广场、市场和车站等场所修建临时建筑物、构筑物和其他设施的处罚</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6.送达责任：行政处罚决定书在决定后七日内依照民事诉讼法的有关规定送达当事人。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7.执行责任：督促当事人履行生效的行政处罚决定，对逾期不履行的，依照《中华人民共和国行政强制法》的规定执行。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8.法律法规规章文件规定应履行的其他责任。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《行政处罚法》第十五、三十一、三十七、三十八、三十九、四十、四十二条。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对单位和个人损坏或者擅自移动有钉螺地带警示标志的处罚</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6.送达责任：行政处罚决定书在决定后七日内依照民事诉讼法的有关规定送达当事人。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7.执行责任：督促当事人履行生效的行政处罚决定，对逾期不履行的，依照《中华人民共和国行政强制法》的规定执行。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8.法律法规规章文件规定应履行的其他责任。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《行政处罚法》第十五、三十一、三十七、三十八、三十九、四十、四十二条。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行政强制  </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对在乡、村庄规划区内未依法取得乡村建设规划许可证或者未按照乡村建设规划许可证的规定进行建设的拆除</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2.审查责任：案件承办机构负责人对办案人员提出的采取行政强制的理由、种类、依据进行审查。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4.执行责任：制作并送达查封（扣押、冻结）决定书，妥善保管有关财物。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《行政强制法》第十八、二十四、二十六、三十一、三十二、三十三条。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行政强制  </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对在电力设施保护区内修建的危及电力设施安全的建筑物、构筑物或者种植植物、堆放物品的强制拆除、砍伐或者清除</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2.审查责任：案件承办机构负责人对办案人员提出的采取行政强制的理由、种类、依据进行审查。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4.执行责任：制作并送达查封（扣押、冻结）决定书，妥善保管有关财物。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《行政强制法》第十八、二十四、二十六、三十一、三十二、三十三条。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责令拆除未经煤矿企业同意修建建筑物、构筑物</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《中华人民共和国煤炭法》（2016年修正）第五十二条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第六十二条　违反本法第五十二条的规定，未经煤矿企业同意，在煤矿企业依法取得土地使用权的有效期间内在该土地上修建建筑物、构筑物的，由当地人民政府动员拆除；拒不拆除的，责令拆除。</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2.审查责任：案件承办机构负责人对办案人员提出的采取行政强制的理由、种类、依据进行审查。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4.执行责任：制作并送达查封（扣押、冻结）决定书，妥善保管有关财物。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对非法种植毒品原植物的处置</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地方各级人民政府发现非法种植毒品原植物的，应当立即采取措施予以制止、铲除。村民委员会、居民委员会发现非法种植毒品原植物的，应当及时予以制止、铲除，并向当地公安机关报告。</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2.审查责任：案件承办机构负责人对办案人员提出的采取行政强制的理由、种类、依据进行审查。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4.执行责任：制作并送达查封（扣押、冻结）决定书，妥善保管有关财物。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《行政强制法》第十八、二十四、二十六、三十一、三十二、三十三条。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对家庭经济困难的适龄儿童、少年免费提供教科书并补助寄宿生生活费</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《中华人民共和国义务教育法》（2018年修正）第四十四条第二款各级人民政府对家庭经济困难的适龄儿童、少年免费提供教科书并补助寄宿生生活费。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3.决定责任：作出给付的行政决定，依法送达。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4.法律法规规章文件规定应履行的其他责任。 </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《中华人民共和国义务教育法》第四十四条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对生活困难残疾人、对贫困残疾人、对生活不能自理残疾人的救助</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第四十八条第三款  各级人民政府对贫困残疾人的基本医疗、康复服务、必要的辅助器具的配置和更换，应当按照规定给予救助。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第四十八条第四款款  对生活不能自理的残疾人，地方各级人民政府应当根据情况给予护理补贴。</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3.决定责任：作出给付的行政决定，依法送达。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4.法律法规规章文件规定应履行的其他责任。 </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《中华人民共和国残疾人保障法》第四十八条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行政给付 </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对特殊老年人的供养或救助</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《中华人民共和国老年人权益保障法》（2018年修正）第三十一条第二款  老年人无劳动能力、无生活来源、无赡养人和抚养人，或者其赡养人和抚养人确无赡养能力或者抚养能力的，由地方各级人民政府依照有关规定给予供养或者救助。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第三十一条第三款  对流浪乞讨、遭受遗弃等生活无着的老年人，由地方各级人民政府依照有关规定给予救助。</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3.决定责任：作出给付的行政决定，依法送达。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4.法律法规规章文件规定应履行的其他责任。 </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《中华人民共和国老年人权益保障法》第三十一条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军人抚恤优待</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《军人抚恤优待条例》（2019年修正）第三十三条 第一款　义务兵服现役期间，其家庭由当地人民政府发给优待金或者给予其他优待，优待标准不低于当地平均生活水平。</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第四十三条  随军的烈士遗属、因公牺牲军人遗属和病故军人遗属移交地方人民政府安置的，享受本条例和当地人民政府规定的抚恤优待。</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第四十四条  复员军人生活困难的，按照规定的条件，由当地人民政府民政部门给予定期定量补助，逐步改善其生活条件。</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3.决定责任：作出给付的行政决定，依法送达。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4.法律法规规章文件规定应履行的其他责任。 </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《军人抚恤优待条例》第三十三条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对城市生活无着的流浪乞讨人员的救助</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1.受理责任：公示法定应当提交的材料；一次性告知补正材料，依法受理或不予受理申请（不予受理的说明理由）。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3.决定责任：作出给付的行政决定，依法送达。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4.法律法规规章文件规定应履行的其他责任。 </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《城市生活无着的流浪乞讨人员救助管理办法实施细则》(民政部令第24号)第十八条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行政给付</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独生子女入托费、入学费及医疗费等的酌情补助或减免</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《贵州省人口与计划生育条例》（2018年修正）第五十六条第一款第（四）项  有条件的单位、乡镇人民政府、街道办事处(社区)可以酌情补助或者减免独生子女的入托费、入学费、医疗费等。</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3.决定责任：对符合条件的依法进行办理。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《贵州省人口和计划生育条例》第五十六条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对生产经营单位安全生产状况的监督检查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《中华人民共和国安全生产法》第八条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消防安全监督检查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《中华人民共和国消防法》第三十一条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草原防火监督检查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《草原防火条例》第七条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查验现居住地成年流动人口婚育证明</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《流动人口计划生育工作条例》第八条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对用人单位流动人口计划生育工作的检查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《流动人口计划生育工作条例》第十五条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对适龄儿童、少年接受义务教育情况的检查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 《贵州省义务教育条例》第二十四条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乡镇渡口渡船安全监督检查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《内河渡口渡船安全管理规定》（交通运输部令第9号）第三十五条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对自用船舶适航性的检查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《贵州省乡镇自用船舶安全管理办法》(省人民政府令第120号)第二十条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行政检查</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森林防火期内，对进入森林防火区的车辆和人员进行检查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1.检查责任：定期根据法律法规对相关工作开展检查。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3.事后管理责任：对检查情况进行汇总、分类、归档备查，并跟踪监测。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4.其他：法律法规规章文件规定应履行的责任。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《森林防火条例》第二十七条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婚姻登记</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第八条　男女双方补办结婚登记的，适用本条例结婚登记的规定。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第十四条　离婚的男女双方自愿恢复夫妻关系的，应当到婚姻登记机关办理复婚登记。复婚登记适用本条例结婚登记的规定。</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2.审查责任：对相对人提交的材料进行审查，提出审查意见。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3.决定责任：在规定期限内作出书面决定（不予确认的应说明理由）。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4.送达责任：在规定期限内制作并向申请人送达法律证件。</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《婚姻法》第八条 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29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行政确认 </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对调整村民小组设置的批准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1.受理责任：公示依法应当提交的材料；一次性告知补正材料；依法受理或不予受理（不予受理应当告知理由）。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2.审查责任：根据有关法律法规规定对申请材料进行审核。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3.决定责任：按照审核结果做出行政确认或不予以行政确认的决定，对不予行政确认的进行解释说明。</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《贵州省实施&lt;中华人民共和国村民委员会组织法&gt;办法》第十三条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流动人口婚育证明</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1.受理责任：公示依法应当提交的材料；一次性告知补正材料；依法受理或不予受理（不予受理应当告知理由）。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2.审查责任：根据有关法律法规规定对申请材料进行审核。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3.决定责任：按照审核结果做出行政确认或不予以行政确认的决定，对不予行政确认的进行解释说明。</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《流动人口计划生育工作条例》（国务院令第555号）第七条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流动人口避孕节育情况证明</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1.受理责任：公示依法应当提交的材料；一次性告知补正材料；依法受理或不予受理（不予受理应当告知理由）。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2.审查责任：根据有关法律法规规定对申请材料进行审核。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3.决定责任：按照审核结果做出行政确认或不予以行政确认的决定，对不予行政确认的进行解释说明。</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《流动人口计划生育工作条例》（国务院令第555号令）第十三条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兵役登记</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2.事后监管责任：建立实施监督检查的运行机制和管理制度，加强监管。建立档案，公开兵役登记信息；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《征兵工作条例》第十二条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群众购买毒性中药证明</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1.受理责任：公示依法应当提交的材料；一次性告知补正材料；依法受理或不予受理（不予受理应当告知理由）。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2.审查责任：根据《医疗用毒性药品管理办法》对购买毒性中药证明材料进行审核。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3.决定责任：按照审核结果做出行政确认或不予以行政确认的决定，对不予行政确认的进行解释说明。</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《医疗用毒性药品管理办法》（国务院令第23号令）第十条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行政确认 </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法律援助申请人家庭经济状况证明</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《贵州省法律援助条例》（2019年修正）第二十条  申请法律援助应当如实提交下列材料：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（二）申请人所在村（居）民委员会或者乡（镇）人民政府、街道办事处或者工作单位出具的申请人及其家庭成员经济状况证明。</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1.受理责任：公示依法应当提交的材料；一次性告知补正材料；依法受理或不予受理（不予受理应当告知理由）。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2.审查责任：根据有关法律法规规定对申请材料进行审核。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3.决定责任：按照审核结果做出行政确认或不予以行政确认的决定，对不予行政确认的进行解释说明。</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《贵州省法律援助条例》第二十条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行政奖励</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对在社会主义建设中做出显著成绩的残疾人，对维护残疾人合法权益、发展残疾人事业、为残疾人服务做出显著成绩的单位和个人的奖励</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1.受理责任：对申报材料进行受理。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2.审查责任:对奖励对象的材料进行审核。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3.公示责任：对符合条件的推荐对象进行公示。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4.决定责任:按照程序报请研究审定，依法进行奖励。                       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《中华人民共和国残疾人保障法》第十三条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行政奖励</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对在人口与计划生育工作中有突出成绩或者特殊贡献的组织和个人的奖励</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《贵州省人口与计划生育条例》（2018年修正）第八条  各级人民政府对在人口与计划生育工作中有突出成绩或者特殊贡献的组织和个人,应当给予表彰和奖励。</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 受理责任：对申报材料进行受理。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2．审查责任:对奖励对象的材料进行审核。</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 公示责任：对符合条件的推荐对象进行公示。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4．决定责任:按照程序报请研究审定，依法进行奖励。                       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 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《贵州省人口与计划生育条例》第八条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行政裁决</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对个人之间、个人与单位之间土地权属争议的处理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《中华人民共和国土地管理法》（2004年修正）第十六条第二款　单位之间的争议，由县级以上人民政府处理；个人之间、个人与单位之间的争议，由乡级人民政府或者县级以上人民政府处理。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1.受理责任：公示申请条件、法定期限、需要提供的申请书及其他资料，一次性告知补正材料。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3.裁决责任：根据事实和法律、法规作出裁决，制作并向双方当事人送达裁决书（说明裁决的理由和依据，并告知当事人的权利救济途径）。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4.事后监管责任：监督当事人严格履行生效裁决书的有关内容。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《中华人民共和国土地管理法》第十六条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行政裁决</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对个人之间、个人与单位之间草原所有权、使用权争议处理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《中华人民共和国草原法》（2013年修正）第十六条第二款   单位之间的争议，由县级以上人民政府处理；个人之间、个人与单位之间的争议，由乡（镇）人民政府或者县级以上人民政府处理。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1.受理责任：公示申请条件、法定期限、需要提供的申请书及其他资料，一次性告知补正材料。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3.裁决责任：根据事实和法律、法规作出裁决，制作并向双方当事人送达裁决书（说明裁决的理由和依据，并告知当事人的权利救济途径）。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4.事后监管责任：监督当事人严格履行生效裁决书的有关内容。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《中华人民共和国草原法》第十六条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39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行政裁决</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对个人之间、个人与单位之间林木所有权、林地使用权争议的处理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《中华人民共和国森林法》（2009年修正）第十七条第二款 个人之间、个人与单位之间发生的林木所有权和林地使用权争议，由当地县级或者乡级人民政府依法处理。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《贵州省国有林场管理条例》第二十九条 国有林场管理机构与其他单位或者个人发生林地、林木权属争议的，由所在地县级以上人民政府或者乡级人民政府依法处理。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1.受理责任：公示申请条件、法定期限、需要提供的申请书及其他资料，一次性告知补正材料。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3.裁决责任：根据事实和法律、法规作出裁决，制作并向双方当事人送达裁决书（说明裁决的理由和依据，并告知当事人的权利救济途径）。</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4.事后监管责任：监督当事人严格履行生效裁决书的有关内容。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《中华人民共和国森林法》第十七条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适龄儿童、少年因身体状况需要延缓入学或者休学的批准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2.审查责任：对相对人人提交的材料进行审查，提出审查意见。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3.决定责任：在规定期限内作出书面决定（不予确认的应说明理由）。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《中华人民共和国义务教育法》第十一条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乡镇煤矿安全生产监督管理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《乡镇煤矿管理条例》（2013年修正）第十八条  县级、乡级人民政府应当加强对乡镇煤矿安全生产工作的监督管理，保证煤矿生产的安全。</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1.检查责任：按照法律法规、规章规定和法定程序实施监督检查，检查人员不得少于2人，并应出示行政执法证件。</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《乡镇煤矿管理条例》第十八条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食品摊贩从事食品生产经营活动备案</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3.决定责任：在规定期限内作出备案登记。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《贵州省食品安全条例》第四十四条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在乡道、村道的出入口设置限高、限宽设施</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1.调研责任：对是否需要设置限高、限宽设施进行调研。</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2.组织实施责任：对确认需设置的，组织实施。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《公路安全保护条例》第三十四条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责成有关部门改建碍航建筑物或者限期补建过船、过木、过鱼建筑物，清除淤积，恢复通航</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1.立案责任：对依据监督检查职权或者通过举报、投诉、其他部门移送、上级部门交办等途径发现的有关线索，决定是否立案。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4.决定责任：作出责成有关部门改建碍航建筑物或者限期补建过船、过木、过鱼建筑物，清除淤积，恢复通航的决定。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5.执行责任：督促有关部门履行的行政决定，对逾期不履行的，依照有关规定处理。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 《中华人民共和国航道管理条例》 第十七条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乡镇自用船舶申请检丈、登记</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《贵州省乡镇自用船舶安全管理办法》（2019年修改）第十二条 乡镇自用船舶的船主应当向所在地的乡（镇）人民政府申请船舶检丈、登记，并提交下列材料：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（一）乡镇自用船舶检丈、登记申请表；</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（二）船主身份证明文件；</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（三）购置发票、建造协议或者船舶主出具船舶合法来源书面承诺。</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2.检丈审查责任：对船舶进行检测丈量，对申请人提交的申请材料进行审查，提出审查意见。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3.决定责任：在规定期限内予以登记或不予登记；不予登记的应告知理由，并告知相对人申请复议或提起行政诉讼的权利。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《贵州省乡镇自用船舶安全管理办法》（省人民政府令第120号）第十二条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乡镇自用船舶登记证书签注</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《贵州省乡镇自用船舶安全管理办法》（2019年修改）第十七条 乡（镇）人民政府对符合第十六条规定条件的人员应当在《贵州省乡镇自用船舶登记证书》上给予签注。</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3.决定责任：在规定期限内予以签注或不予签注；不予签注的应告知理由，并告知相对人申请复议或提起行政诉讼的权利。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《贵州省乡镇自用船舶安全管理办法》（省人民政府令第120号）第十七条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责令限期拖离不适航且无修复价值的乡镇自用船舶</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《贵州省乡镇自用船舶安全管理办法》（2019年修改）第二十二条  不适航且无修复价值的乡镇自用船舶，船主应当及时将其拖离航行水域，消除事故隐患。未拖离的，由乡（镇）人民政府责令限期拖离。</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3.审查责任：对案件的相关事实、收集的证据、办案的程序、当事人的陈述申辩理由等进行审查，提出处理意见。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4.决定责任：依法应当责令限期拖离的，制作盖有行政机关印章的行责令限期拖离决定书，载明相关事实、证据、依据、权利救济途径等内容。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5.送达责任：决定书在决定后七日内依照《民事诉讼法》的有关规定送达当事人。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6.执行责任：督促当事人履行生效的决定，对逾期不履行的，依照《中华人民共和国行政强制法》的规定执行。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《贵州省乡镇自用船舶安全管理办法》（省人民政府令第120号）第二十二条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乡村建设规划许可初审</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在乡、村寨规划区内进行农村村民住宅建设的，应当向村民委员会提出建房申请，报乡、镇人民政府审核，城市、县人民政府城乡规划主管部门核发乡村建设规划许可证。 </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3.呈报责任：在规定期限内将初步审查意见和全部申请材料报送县级人民政府城乡规划主管部门审查。      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《中华人民共和国城乡规划法》第四十一条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49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村民在村庄、集镇规划区内，需使用耕地修建住宅申请的审查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回原籍村庄、集镇落户的职工、退伍军人和离休、退休干部以及回乡定居的华侨、港澳台同胞，在村庄、集镇规划区内需要使用集体所有的土地建住宅的，依照本条第一款第（一）项规定的审批程序办理。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3.呈报责任：在规定期限内将初步审查意见和全部申请材料直接报送县级人民政府建设行政主管部门审查。      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《村庄和集镇规划建设管理条例》第十八条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村民在村庄、集镇规划区内，使用原有宅基地、村内空闲地和其他土地修建住宅申请的批准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（二）使用原有宅基地、村内空闲地和其他土地的，由乡级人民政府根据村庄、集镇规划和土地利用规划批准。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3.决定责任：在规定期限内作出批准或不予批准的书面决定；不批准可应告知理由，并告知相对人申请复议或提起行政诉讼的权利。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4.送达责任：在规定期限内向申请人送达批准证件；建立信息档案；公开有关信息。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《村庄和集镇规划建设管理条例》第十八条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1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生育服务登记</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（一）夫妻双方的居民身份证；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（二）结婚证；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（三）女方的婚育证明和男方户籍所在地的乡（镇）人民政府或者街道办事处出具的婚育情况证明材料。</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3.决定责任：在规定期限内作出登记或不予登记的书面决定；不予登记的应告知理由。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4.送达责任：在规定期限内向申请人送达登记证明；建立信息档案；公开有关信息。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《流动人口计划生育工作条例》第十六条 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病残儿医学鉴定审核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3.呈报责任：在规定期限内将初步审查意见和全部申请材料直接报送县级计划生育行政部门。      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《病残儿医学鉴定管理办法》（国家计划生育委员会令第7号）第十三条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对新生儿在医疗保健机构以外地点死亡的核查</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1.核查责任：根据监护人的报告，按照有关规定进行核查。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2.处置责任：根据有关规定作出相应处置措施。并向乡镇卫生院或社区卫生服务中心通报有关信息。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《禁止非医学需要的胎儿性别鉴定和选择性别的人工终止妊娠的规定》（国家卫生和计划生育委员会令第9号）第十三条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对侵占、破坏学校体育场地、器材、设备的单位或者个人限期清退和修复场地、赔偿或者修复器材、设备</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6.送达责任：行政处理决定书在决定后七日内依照《民事诉讼法》的有关规定送达当事人。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7.执行责任：督促当事人履行生效的行政处理决定，对逾期不履行的，依照《中华人民共和国行政强制法》的规定执行。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8.法律法规规章文件规定应履行的其他责任。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《学校体育工作条例》（国家教育委员会令第8号）第二十八条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农村幼儿园举办、停办的登记注册</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《幼儿园管理条例》（国家教育委员会令第4号）第十二条第二款农村幼儿园的举办、停办，由所在乡、镇人民政府登记注册，并报县人民政府教育行政部门备案。</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3.决定责任：在规定期限内予以登记或不予登记；不予登记的应告知理由，并告知相对人申请复议或提起行政诉讼的权利。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《幼儿园管理条例》（国家教育委员会令第4号）第十二条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对业主大会、业主委员会违法违规作出决定的责令改正或者撤销</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1.审查责任：对业主大会、业主委员会作出的决定进行审查。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2.处置责任：发现业主大会、业主委员会作出的决定违反法律、法规的，作出责令限期改正或撤销决定。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3.事后监管责任：督促业主大会、业主委员会履行生效的决定。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《物业管理条例》第十九条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前期物业服务合同备案</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3.决定责任：在规定期限内作出备案登记。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《贵州省物业管理条例》第五十条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廉租住房保障申请初审</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《廉租住房保障办法》（建设部令第162号）第十七条第一款 申请廉租住房保障，按照下列程序办理：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（一）申请廉租住房保障的家庭，应当由户主向户口所在地街道办事处或者镇人民政府提出书面申请；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3.呈报责任：在规定期限内将初步审查意见和全部申请材料报送县级人民政府建设（住房保障）部门审核。      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《廉租住房保障办法》（建设部令第162号）第十七条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59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村规民约备案</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《中华人民共和国村民委员会组织法》（2018年修正）第二十七条第一款　村民会议可以制定和修改村民自治章程、村规民约，并报乡、民族乡、镇的人民政府备案。</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3.决定责任：在规定期限内作出备案登记。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《中华人民共和国村民委员会组织法》第二十七条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监督社区戒毒人员</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《中华人民共和国禁毒法》（2008年）第三十九条第二款 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《贵州省禁毒条例》（2013年修正）第十条  城市街道办事处(社区)、乡镇人民政府负责社区戒毒、社区康复工作，指导居民委员会、村民委员会做好禁种、禁制、禁贩、禁吸毒品的教育宣传，落实禁毒防范措施。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1.检查责任：根据有关情况对社区戒毒人员情意况进行检查。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《中华人民共和国禁毒法》第三十九条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对居民住房恢复重建补助对象的审核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3.呈报责任：在规定期限内将初步审查意见和全部申请材料直接报送县级人民政府民政等部门审批。      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 《自然灾害救助条例》第二十条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对设置农村村民公益性墓地审核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《殡葬管理条例》（2012年修订）第八条第三款  农村为村民设置公益性墓地，经乡级人民政府审核同意后，报县级人民政府民政部门审批。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3.呈报责任：在规定期限内将初步审查意见和全部申请材料直接报送县级人民政府民政部门审批。      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殡葬管理条例》第八条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城乡居民申请最低生活保障待遇审核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《社会救助暂行办法》（国务院令第649号）第四条第一款 乡镇人民政府、街道办事处负责有关社会救助的申请受理、调查审核，具体工作由社会救助经办机构或者经办人员承担。</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第十一条第（一）项 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《城市居民最低生活保障条例》第四条第二款　县级人民政府民政部门以及街道办事处和镇人民政府（以下统称管理审批机关）负责城市居民最低生活保障的具体管理审批工作。    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2.审查责任：对申请人提交的申请材料进行审查核实，提出初步审查意见。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3.呈报责任：在规定期限内将初步审查意见和全部申请材料报送县级人民政府民政部门审批。      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《社会救助暂行办法》（国务院令第649号）第四条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特困人员供养待遇及核销的审核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特困人员供养的审批程序适用本办法第十一条规定。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3.呈报责任：在规定期限内将初步审查意见和全部申请材料直接报送县级人民政府民政部门审批。      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社会救助暂行办法》（国务院令第649号）第十六条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医疗救助初审 </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2.审查责任：对申请人提交的申请材料进行审查，提出初步审查意见，并公示。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3.呈报责任：在规定期限内将初步审查意见和全部申请材料直接报送县级人民政府民政部门审批。      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《社会救助暂行办法》（国务院令第649号）第三十条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临时救助初审</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3.呈报责任：在规定期限内将初步审查意见和全部申请材料直接报送县级人民政府民政部门审批。      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《社会救助暂行办法》（国务院令第649号）第四十八条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对五保供养服务不符合要求的责令限期改正及终止供养服务协议</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《农村五保供养工作条例》第二十四条 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伤残抚恤对象残疾等级评定的审核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2.审查责任：对申请人提交的申请材料进行审查，审核要求调整和评定残疾等级人员档案材料，核对伤残信息等；提出初审意见。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3.呈报责任：乡镇人民政府审查评定残疾等级申请后出具书面意见，连同本人档案材料、书面申请和本人近期二寸免冠彩色照片等一并报送户籍所在地的县级人民政府民政部门审查。      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《伤残抚恤管理办法》（民政部令第50号） 第五条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69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受理进入光荣院集中供养的申请</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3.事后监管责任：建立实施监督检查的运行机制和管理制度，加强监管。建立信息档案；公开有关信息。</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 《光荣院管理办法》（民政部令第40号） 第八条 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为应对突发事件征用单位和个人的财产</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1.作出征用决定责任：根据应对突发事件的需要，作出征用决定。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2.返还或补偿责任：使用完毕或处置工作结束后及时返还或补偿。</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《中华人民共和国突发事件应对法》第十二条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执行民间纠纷案处理决定</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1.矛盾纠纷排查责任：定期或不定期排查相关矛盾纠纷。</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2.调查处理责任：调查有关事实，听取矛盾纠纷各该当事人的陈述和申辩；进行调解；达不成调解协议的，依据法律和政策作出处理决定。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3.告知责任：告知当事人在乡镇政府做出纠纷处理决定后其权利和义务；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3.执行责任：督促当事人履行生行政处理决定，对逾期不履行的，依照有关规定执行。</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《中华人民共和国突发事件应对法》第二十一条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《民间纠纷处理办法》第二十一条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对土地承包经营期限内，承包经营者之间承包土地进行调整的批准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3.转送责任：在规定期限内将审查意见和全部申请材料报送县级人民政府农业行政主管部门批准。      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《中华人民共和国土地管理法》第十四条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采取措施实施土地整理</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《中华人民共和国土地管理法实施条例》第十八条  县、乡（镇）人民政府应当按照土地利用总体规划，组织农村集体经济组织制定土地整理方案，并组织实施。</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1.拟定整理方案责任：开展调研，拟定整理方案。</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2.公示整理方案责任：公示整理方案，征求意见。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3.审查决定责任：对整理方案进行审查，经集体讨论作出整理决定。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4.组织实施责任：按方案组织实施。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5.验收责任：根据方案规定的整理标准进行验收。</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6.法律法规规章文件规定应履行的其他责任。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《中华人民共和国土地管理法》第三十五条、第四十一条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《中华人民共和国土地管理法实施条例》第十八条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对乡(镇)村公共设施、公益事业建设用地的审核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3.呈报责任：在规定期限内将初步审查意见和全部申请材料报送县级人民政府土地行政主管部门。      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 第六十一条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农村居民住宅用地审核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《中华人民共和国土地管理法》（2004年修正）第六十二条  农村村民一户只能拥有一处宅基地，其宅基地的面积不得超过省、自治区、直辖市规定的标准。</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农村村民建住宅，应当符合乡（镇）土地利用总体规划，并尽量使用原有的宅基地和村内空闲地。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农村村民住宅用地，经乡（镇）人民政府审核，由县级人民政府批准；其中，涉及占用农用地的，依照本法第四十四条的规定办理审批手续。</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农村村民出卖、出租住房后，再申请宅基地的，不予批准。</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2.审查责任：对申请人提交的申请材料进行审查，提出初审意见。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3.呈报责任：在规定期限内将审核意见和全部申请材料报送县级人民政府批准。      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《中华人民共和国土地管理法》第六十二条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对在村庄、集镇规划区内，违法占地的，责令退回</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1.检查责任：按照法律法规、规章规定和法定程序实施检查，检查人员不得少于2人。</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《村庄和集镇规划建设管理条例》第三十六条 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对农产品生产活动的指导、监管</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《贵州省农产品质量安全条例》（2017年修正）第五条第三款：“乡、镇人民政府应当加强对本行政区域内农产品生产活动的指导、监督, 落实农产品质量安全管理责任。”</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1.检查责任：按照法律法规、规章规定和法定程序实施检查，检查人员不得少于2人，并应出示行政执法证件。</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2.处置责任：根据有关规定作出相应处置措施。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3.事后监管责任：对监测检查情况进行汇总、分类、归档被查，并跟踪监测。</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《贵州省农产品质量安全条例》第五条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78</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对实行家庭承包方式的农村土地承包经营权颁证的审核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《中华人民共和国农村土地承包经营权证管理办法》（农业部令第33号）第七条  实行家庭承包的，按下列程序颁发农村土地承包经营权证： 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（一）土地承包合同生效后，发包方应在30个工作日内，将土地承包方案、承包方及承包土地的详细情况、土地承包合同等材料一式两份报乡（镇）人民政府农村经营管理部门。 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2.审查责任：对申请人提交的申请材料进行审查，提出初审意见。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3.呈报责任：在规定期限内将初审意见和全部申请材料报送县级人民政府农业行政主管部门审核。      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《中华人民共和国农村土地承包经营权证管理办法》（农业部令第33号）第七条 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79</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对以招标、拍卖、公开协商等方式承包农村土地办理农村土地承包经营权证的初审</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《中华人民共和国农村土地承包经营权证管理办法》（农业部令第33号）第八条  实行招标、拍卖、公开协商等方式承包农村土地的，按下列程序办理农村土地承包经营权证： 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（一）土地承包合同生效后，承包方填写农村土地承包经营权证登记申请书，报承包土地所在乡（镇）人民政府农村经营管理部门。 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（二）乡（镇）人民政府农村经营管理部门对发包方和承包方的资格、发包程序、承包期限、承包地用途等予以初审，并在农村土地承包经营权证登记申请书上签署初审意见。 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（三）承包方持乡（镇）人民政府初审通过的农村土地承包经营权登记申请书，向县级以上地方人民政府申请农村土地承包经营权证登记。 </w:t>
            </w:r>
            <w:r>
              <w:rPr>
                <w:rFonts w:hint="eastAsia" w:ascii="宋体" w:hAnsi="宋体" w:eastAsia="宋体" w:cs="宋体"/>
                <w:b/>
                <w:bCs/>
                <w:color w:val="auto"/>
                <w:sz w:val="24"/>
                <w:szCs w:val="24"/>
                <w:bdr w:val="none" w:color="auto" w:sz="0" w:space="0"/>
              </w:rPr>
              <w:br w:type="textWrapping"/>
            </w:r>
            <w:r>
              <w:rPr>
                <w:color w:val="auto"/>
                <w:sz w:val="24"/>
                <w:szCs w:val="24"/>
                <w:bdr w:val="none" w:color="auto" w:sz="0" w:space="0"/>
              </w:rPr>
              <w:t> </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2.审查责任：对申请人提交的申请材料进行审查，提出初步审查意见，未通过审查应告知理由，并告知相对人申请复议或提起行政诉讼的权利。</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 《中华人民共和国农村土地承包经营权证管理办法》（农业部令第33号）第八条 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80</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换发、补发农村土地承包经营权证的审核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3.转送责任：在规定期限内将审查意见和全部申请材料报送原发证机关办理换发、补发手续。      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《中华人民共和国农村土地承包经营权证管理办法》（农业部令第33号）第十七条 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81</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土地承包经营权流转合同备案</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《农村土地承包经营权流转管理办法》（农业部令第47号）第二十一条第二款 农村土地承包经营权流转合同一式四份，流转双方各执一份，发包方和乡(镇)人民政府农村土地承包管理部门各备案一份。</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3.决定责任：在规定期限内作出备案登记。</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4.监管责任：建立信息档案；公开有关信息；建立实施监督检查的运行机制和管理制度，加强监管。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《农村土地承包经营权流转管理办法》（农业部令第47号）第二十一条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82</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组织开展动物疫病强制免疫</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《中华人民共和国动物防疫法》（2015年修正）第六条 乡级人民政府、城市街道办事处应当组织群众协助做好本管辖区域内的动物疫病预防与控制工作。</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第十四条 乡级人民政府、城市街道办事处应当组织本管辖区域内饲养动物的单位和个人做好强制免疫工作。 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第六十三条 县级人民政府和乡级人民政府应当采取有效措施，加强村级防疫员队伍建设。</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  县级人民政府兽医主管部门可以根据动物防疫工作需要，向乡、镇或者特定区域派驻兽医机构。</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2.组织本管辖区域内饲养动物的单位和个人做好强制免疫工作；做好预防控制措施；及时上报县动物卫生部门疫情以及控制情况；</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3.现场检查动物疾病强制免疫情况；</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《中华人民共和国动物防疫法》第六条、第六十三条</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83</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捕杀狂犬、野犬</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《中华人民共和国传染病防治法实施办法》（卫生部令第17号）第二十九条第（三）项  乡（镇）政府负责辖区内养犬的管理，捕杀狂犬、野犬。</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1.建立队伍责任：组建应急队伍，制定应急方案，并在辖区内加大宣传力度，公开联系方式。</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2.组织实施捕杀责任：收到有狂犬、野犬信息后，立即组织人员，并联系当地公安派出机关；及时赶赴事发地对狂犬、野犬进行捕杀；</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3.善后责任：加大受伤人员的紧急医治工作；对被捕杀的狂犬、野犬进行妥善处置。</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4.报告责任：如出现狂犬、野犬较多的情况，及时上报县级政府动物卫生部门。</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《中华人民共和国传染病防治法实施办法》第二十九条第（三）项</w:t>
            </w:r>
          </w:p>
        </w:tc>
        <w:tc>
          <w:tcPr>
            <w:tcW w:w="0" w:type="auto"/>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84</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对危害文物保护单位安全、破坏文物保护单位历史风貌的建筑物、构筑物的拆迁</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1.调查研究责任：对可能危害文物保护单位安全、破坏文物保护单位历史风貌的建筑物、构筑物进行调查。</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2.决定责任：对危害文物保护单位安全、破坏文物保护单位历史风貌的建筑物、构筑物作出处理决定。</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3.组织实施责任：根据处理决定组织实施。</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《文物保护法》第二十六条第二款</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85</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设立乡村集体所有制企业的审核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3.呈报责任：在规定期限内将初步审查意见和全部申请材料报送县级人民政府乡镇企业主管部门以及法律、法规规定的有关部门批准。      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《中华人民共和国乡村集体所有制企业条例》第十四条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86</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耕地占用税免征或者减征审核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2.审查责任：对申请人提交的申请材料进行审查，提出初审意见。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3.呈报责任：在规定期限内将审核意见和全部申请材料报送县级人民政府批准。      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《中华人民共和国耕地占用税暂行条例》第十条</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0" w:hRule="atLeast"/>
        </w:trPr>
        <w:tc>
          <w:tcPr>
            <w:tcW w:w="540" w:type="dxa"/>
            <w:tcBorders>
              <w:top w:val="nil"/>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87</w:t>
            </w: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其他类</w:t>
            </w:r>
          </w:p>
        </w:tc>
        <w:tc>
          <w:tcPr>
            <w:tcW w:w="81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设立健身气功站点的审核</w:t>
            </w:r>
          </w:p>
        </w:tc>
        <w:tc>
          <w:tcPr>
            <w:tcW w:w="29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285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1.受理责任：公示法定应当提交的材料；一次性告知补正材料；依法受理或不予受理申请（不予受理应当告知理由）。</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2.审查责任：对申请人提交的申请材料进行审查，提出初步审查意见。</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3.呈报责任：在规定期限内将初步审查意见和全部申请材料报送当地具有相应管辖权限的体育行政部门审批。      </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4.事后监管责任：建立实施监督检查的运行机制和管理制度，加强监管。</w:t>
            </w:r>
            <w:r>
              <w:rPr>
                <w:rFonts w:hint="eastAsia" w:ascii="宋体" w:hAnsi="宋体" w:eastAsia="宋体" w:cs="宋体"/>
                <w:b/>
                <w:bCs/>
                <w:color w:val="auto"/>
                <w:sz w:val="24"/>
                <w:szCs w:val="24"/>
                <w:bdr w:val="none" w:color="auto" w:sz="0" w:space="0"/>
              </w:rPr>
              <w:br w:type="textWrapping"/>
            </w:r>
            <w:r>
              <w:rPr>
                <w:rFonts w:hint="eastAsia" w:ascii="宋体" w:hAnsi="宋体" w:eastAsia="宋体" w:cs="宋体"/>
                <w:b/>
                <w:bCs/>
                <w:color w:val="auto"/>
                <w:sz w:val="24"/>
                <w:szCs w:val="24"/>
                <w:bdr w:val="none" w:color="auto" w:sz="0" w:space="0"/>
              </w:rPr>
              <w:t>5.法律法规规章文件规定应履行的其他责任。</w:t>
            </w:r>
          </w:p>
        </w:tc>
        <w:tc>
          <w:tcPr>
            <w:tcW w:w="108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rPr>
            </w:pPr>
            <w:r>
              <w:rPr>
                <w:rFonts w:hint="eastAsia" w:ascii="宋体" w:hAnsi="宋体" w:eastAsia="宋体" w:cs="宋体"/>
                <w:b/>
                <w:bCs/>
                <w:color w:val="auto"/>
                <w:sz w:val="24"/>
                <w:szCs w:val="24"/>
                <w:bdr w:val="none" w:color="auto" w:sz="0" w:space="0"/>
              </w:rPr>
              <w:t>《健身气功管理办法》（国家体育总局令第9号）第十七条 </w:t>
            </w:r>
          </w:p>
        </w:tc>
        <w:tc>
          <w:tcPr>
            <w:tcW w:w="570"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c>
          <w:tcPr>
            <w:tcW w:w="555" w:type="dxa"/>
            <w:tcBorders>
              <w:top w:val="nil"/>
              <w:left w:val="nil"/>
              <w:bottom w:val="outset" w:color="auto" w:sz="6" w:space="0"/>
              <w:right w:val="outset" w:color="auto" w:sz="6" w:space="0"/>
            </w:tcBorders>
            <w:shd w:val="clear"/>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p>
        </w:tc>
      </w:tr>
    </w:tbl>
    <w:p>
      <w:pPr>
        <w:keepNext w:val="0"/>
        <w:keepLines w:val="0"/>
        <w:pageBreakBefore w:val="0"/>
        <w:kinsoku/>
        <w:overflowPunct/>
        <w:topLinePunct w:val="0"/>
        <w:autoSpaceDE/>
        <w:autoSpaceDN/>
        <w:bidi w:val="0"/>
        <w:adjustRightInd/>
        <w:snapToGrid/>
        <w:spacing w:line="400" w:lineRule="exact"/>
        <w:textAlignment w:val="auto"/>
        <w:rPr>
          <w:color w:val="auto"/>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653ce678-d42d-4c4d-bdfb-7c3a4d47947b"/>
  </w:docVars>
  <w:rsids>
    <w:rsidRoot w:val="1D3663B9"/>
    <w:rsid w:val="1D3663B9"/>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2024-01-05T03:11:00Z</dcterms:created>
  <dc:creator>17785269434</dc:creator>
  <cp:lastModifiedBy>17785269434</cp:lastModifiedBy>
  <dcterms:modified xsi:type="dcterms:W3CDTF">2024-01-05T03:14:07Z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69D51E2E555840E7ABC0EA40BF8229ED_11</vt:lpwstr>
  </property>
</Properties>
</file>