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郑场镇人民政府权责清单（2022年</w:t>
      </w:r>
      <w:bookmarkStart w:id="0" w:name="_GoBack"/>
      <w:bookmarkEnd w:id="0"/>
      <w:r>
        <w:rPr>
          <w:rFonts w:hint="eastAsia" w:ascii="方正小标宋简体" w:hAnsi="方正小标宋简体" w:eastAsia="方正小标宋简体" w:cs="方正小标宋简体"/>
          <w:sz w:val="44"/>
          <w:szCs w:val="44"/>
        </w:rPr>
        <w:t>）</w:t>
      </w: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8"/>
        <w:gridCol w:w="350"/>
        <w:gridCol w:w="649"/>
        <w:gridCol w:w="2050"/>
        <w:gridCol w:w="3278"/>
        <w:gridCol w:w="940"/>
        <w:gridCol w:w="438"/>
        <w:gridCol w:w="6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8"/>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6"/>
                <w:rFonts w:ascii="仿宋" w:hAnsi="仿宋" w:eastAsia="仿宋" w:cs="仿宋"/>
                <w:b/>
                <w:bCs/>
                <w:sz w:val="21"/>
                <w:szCs w:val="21"/>
                <w:bdr w:val="none" w:color="auto" w:sz="0" w:space="0"/>
              </w:rPr>
              <w:t>郑场镇人民政府权责清单（2022年）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号</w:t>
            </w:r>
          </w:p>
        </w:tc>
        <w:tc>
          <w:tcPr>
            <w:tcW w:w="570" w:type="dxa"/>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权力</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类型</w:t>
            </w:r>
          </w:p>
        </w:tc>
        <w:tc>
          <w:tcPr>
            <w:tcW w:w="1020" w:type="dxa"/>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权力名称</w:t>
            </w:r>
          </w:p>
        </w:tc>
        <w:tc>
          <w:tcPr>
            <w:tcW w:w="4155" w:type="dxa"/>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权力依据</w:t>
            </w:r>
          </w:p>
        </w:tc>
        <w:tc>
          <w:tcPr>
            <w:tcW w:w="4965" w:type="dxa"/>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责任事项</w:t>
            </w:r>
          </w:p>
        </w:tc>
        <w:tc>
          <w:tcPr>
            <w:tcW w:w="1455" w:type="dxa"/>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责任事项依据</w:t>
            </w:r>
          </w:p>
        </w:tc>
        <w:tc>
          <w:tcPr>
            <w:tcW w:w="0" w:type="auto"/>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承办</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机构</w:t>
            </w:r>
          </w:p>
        </w:tc>
        <w:tc>
          <w:tcPr>
            <w:tcW w:w="0" w:type="auto"/>
            <w:tcBorders>
              <w:top w:val="outset" w:color="auto" w:sz="6" w:space="0"/>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21"/>
                <w:szCs w:val="21"/>
                <w:bdr w:val="none" w:color="auto" w:sz="0" w:space="0"/>
              </w:rPr>
              <w:t>追责对象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农民集体所有的土地由本集体经济组织以外的单位或者个人承包经营批准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3.决定责任：在规定期限内作出许可或不予许可的书面决定；不予许可应告知理由，并告知相对人申请复议或提起行政诉讼的权利。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4.送达责任：在规定期限内向申请人送达行政许可证件；建立信息档案；公开有关信息。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《行政许可法》第三十、三十二、三十四、三十七、三十八、三十九、四十、四十二、四十四、六十一条。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在承包经营期内，对承包经营者使用的草原进行微调的批准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3.决定责任：在规定期限内作出许可或不予许可的书面决定；不予许可应告知理由，并告知相对人申请复议或提起行政诉讼的权利。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4.送达责任：在规定期限内向申请人送达行政许可证件；建立信息档案；公开有关信息。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《行政许可法》第三十、三十二、三十四、三十七、三十八、三十九、四十、四十二、四十四、六十一条。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郑场镇林业站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对草原由本集体经济组织以外的单位或者个人承包经营的批准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3.决定责任：在规定期限内作出许可或不予许可的书面决定；不予许可应告知理由，并告知相对人申请复议或提起行政诉讼的权利。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4.送达责任：在规定期限内向申请人送达行政许可证件；建立信息档案；公开有关信息。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《行政许可法》第三十、三十二、三十四、三十七、三十八、三十九、四十、四十二、四十四、六十一条。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郑场镇林业站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在村庄、集镇规划区修建临时建筑物、构筑物和其他设施的许可</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《村庄和集镇规划建设管理条例》（国务院令第116号）第三十二条  未经乡镇人民政府批准，任何单位和个人不得擅自在村庄、集镇规划区的街道、广场、市场和车站等场所修建临时建筑物、构筑物和其他设施。</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3.决定责任：在规定期限内作出许可或不予许可的书面决定；不予许可应告知理由，并告知相对人申请复议或提起行政诉讼的权利。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4.送达责任：在规定期限内向申请人送达行政许可证件；建立信息档案；公开有关信息。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《行政许可法》第三十、三十二、三十四、三十七、三十八、三十九、四十、四十二、四十四、六十一条。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对农村居民未经批准或者违反规划的规定修建住宅的处罚</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农村居民未经批准或者违反规划的规定建住宅的，乡级人民政府可以依照前款规定处罚。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一般程序：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6.送达责任：行政处罚决定书在决定后七日内依照《民事诉讼法》的有关规定送达当事人。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8.法律法规规章文件规定应履行的其他责任。</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简易程序：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1.调查责任：收集证据，查明事实，向当事人出示证件，执法人员与当事人有利害关系的，应当回避。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3.决定责任：当场填写预订格式、编有号码的决定书，并加盖公章；行政处罚决定书上应载明违法行为、处罚依据、处罚种类、时间、地点、行政机关名称以及救济途径。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4.送达责任：当场交付当事人。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5.备案责任：执法人员当场作出处罚决定后，必须报所属行政机关备案。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《行政处罚法》第十五、三十一、三十七、三十八、三十九、四十、四十二条。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对损坏村庄和集镇的房屋、公共设施的行政处罚</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《村庄和集镇规划建设管理条例》第三十九条 有下列行为之一的，由乡级人民政府责令停止侵害，可以处以罚款；造成损失的，并应当赔偿：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（一）损坏村庄和集镇的房屋、公共设施的。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（二）乱堆粪便、垃圾、柴草，破坏村容镇貌和环境卫生的。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一般程序：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6.送达责任：行政处罚决定书在决定后七日内依照《民事诉讼法》的有关规定送达当事人。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8.法律法规规章文件规定应履行的其他责任。</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简易程序：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1.调查责任：收集证据，查明事实，向当事人出示证件，执法人员与当事人有利害关系的，应当回避。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3.决定责任：当场填写预订格式、编有号码的决定书，并加盖公章；行政处罚决定书上应载明违法行为、处罚依据、处罚种类、时间、地点、行政机关名称以及救济途径。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4.送达责任：当场交付当事人。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5.备案责任：执法人员当场作出处罚决定后，必须报所属行政机关备案。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《行政处罚法》第十五、三十一、三十七、三十八、三十九、四十、四十二条。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郑场镇村建中心、执法分局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对擅自在村庄、集镇规划区内的街道、广场、市场和车站等场所修建临时建筑物、构筑物和其他设施的处罚</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《村庄和集镇规划建设管理条例》第四十条 擅自在村庄、集镇规划区内的街道、广场、市场和车站等场所修建临时建筑物、构筑物和其他设施的，由乡级人民政府责令限期拆除，并可处以罚款。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一般程序：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6.送达责任：行政处罚决定书在决定后七日内依照《民事诉讼法》的有关规定送达当事人。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8.法律法规规章文件规定应履行的其他责任。</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简易程序：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1.调查责任：收集证据，查明事实，向当事人出示证件，执法人员与当事人有利害关系的，应当回避。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3.决定责任：当场填写预订格式、编有号码的决定书，并加盖公章；行政处罚决定书上应载明违法行为、处罚依据、处罚种类、时间、地点、行政机关名称以及救济途径。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4.送达责任：当场交付当事人。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5.备案责任：执法人员当场作出处罚决定后，必须报所属行政机关备案。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《行政处罚法》第十五、三十一、三十七、三十八、三十九、四十、四十二条。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郑场镇村建中心、自然资源所、执法分局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对单位和个人损坏或者擅自移动有钉螺地带警示标志的处罚</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6.送达责任：行政处罚决定书在决定后七日内依照民事诉讼法的有关规定送达当事人。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7.执行责任：督促当事人履行生效的行政处罚决定，对逾期不履行的，依照《中华人民共和国行政强制法》的规定执行。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8.法律法规规章文件规定应履行的其他责任。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《行政处罚法》第十五、三十一、三十七、三十八、三十九、四十、四十二条。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郑场镇执法分局、卫生院</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行政强制  </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对在乡、村庄规划区内未依法取得乡村建设规划许可证或者未按照乡村建设规划许可证的规定进行建设的拆除</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1.调查责任：调查或检查时，案件承办人不得少于两人，应当向当事人或者有关人员出示行政执法证件，现场检查情况应当如实记入现场检查笔录。</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2.审查责任：案件承办机构负责人对办案人员提出的采取行政强制的理由、种类、依据进行审查。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3.决定、告知责任：经行政机构负责人批准后实施行政强制。当场告知当事人采取行政强制的理由、依据以及当事人依法享有的权利及救济途径。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4.执行责任：制作并送达查封（扣押、冻结）决定书，妥善保管有关财物。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《行政强制法》第十八、二十四、二十六、三十一、三十二、三十三条。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郑场镇村建中心、自然资源所、执法分局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行政强制  </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对在电力设施保护区内修建的危及电力设施安全的建筑物、构筑物或者种植植物、堆放物品的强制拆除、砍伐或者清除</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1.调查责任：调查或检查时，案件承办人不得少于两人，应当向当事人或者有关人员出示行政执法证件，现场检查情况应当如实记入现场检查笔录。</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2.审查责任：案件承办机构负责人对办案人员提出的采取行政强制的理由、种类、依据进行审查。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3.决定、告知责任：经行政机构负责人批准后实施行政强制。当场告知当事人采取行政强制的理由、依据以及当事人依法享有的权利及救济途径。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4.执行责任：制作并送达查封（扣押、冻结）决定书，妥善保管有关财物。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《行政强制法》第十八、二十四、二十六、三十一、三十二、三十三条。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郑场镇供电所、自然资源所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责令拆除未经煤矿企业同意修建建筑物、构筑物</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《中华人民共和国煤炭法》（2016年修正）第五十二条　未经煤矿企业同意，任何单位或者个人不得在煤矿企业依法取得土地使用权的有效期间内在该土地上种植、养殖、取土或者修建建筑物、构筑物。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第六十二条　违反本法第五十二条的规定，未经煤矿企业同意，在煤矿企业依法取得土地使用权的有效期间内在该土地上修建建筑物、构筑物的，由当地人民政府动员拆除；拒不拆除的，责令拆除。</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1.调查责任：调查或检查时，案件承办人不得少于两人，应当向当事人或者有关人员出示行政执法证件，现场检查情况应当如实记入现场检查笔录。</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2.审查责任：案件承办机构负责人对办案人员提出的采取行政强制的理由、种类、依据进行审查。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3.决定、告知责任：经行政机构负责人批准后实施行政强制。当场告知当事人采取行政强制的理由、依据以及当事人依法享有的权利及救济途径。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4.执行责任：制作并送达查封（扣押、冻结）决定书，妥善保管有关财物。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《行政强制法》第十八、二十四、二十六、三十一、三十二、三十三条。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郑场镇安监站、自然资源所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对非法种植毒品原植物的处置</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地方各级人民政府发现非法种植毒品原植物的，应当立即采取措施予以制止、铲除。村民委员会、居民委员会发现非法种植毒品原植物的，应当及时予以制止、铲除，并向当地公安机关报告。</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1.调查责任：调查或检查时，案件承办人不得少于两人，应当向当事人或者有关人员出示行政执法证件，现场检查情况应当如实记入现场检查笔录。</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2.审查责任：案件承办机构负责人对办案人员提出的采取行政强制的理由、种类、依据进行审查。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3.决定、告知责任：经行政机构负责人批准后实施行政强制。当场告知当事人采取行政强制的理由、依据以及当事人依法享有的权利及救济途径。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4.执行责任：制作并送达查封（扣押、冻结）决定书，妥善保管有关财物。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《行政强制法》第十八、二十四、二十六、三十一、三十二、三十三条。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郑场镇派出所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行政给付</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对家庭经济困难的适龄儿童、少年免费提供教科书并补助寄宿生生活费</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《中华人民共和国义务教育法》（2018年修正）第四十四条第二款各级人民政府对家庭经济困难的适龄儿童、少年免费提供教科书并补助寄宿生生活费。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1.受理责任：公示法定应当提交的材料；一次性告知补正材料，依法受理或不予受理申请（不予受理的说明理由）。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3.决定责任：作出给付的行政决定，依法送达。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4.法律法规规章文件规定应履行的其他责任。 </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《中华人民共和国义务教育法》第四十四条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郑场中学、郑场中心校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行政给付</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对生活困难残疾人、对贫困残疾人、对生活不能自理残疾人的救助</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《中华人民共和国残疾人保障法》（2018年修正）第四十八条第一款  各级人民政府对生活确有困难的残疾人，通过多种渠道给予生活、教育、住房和其他社会救助。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第四十八条第三款  各级人民政府对贫困残疾人的基本医疗、康复服务、必要的辅助器具的配置和更换，应当按照规定给予救助。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第四十八条第四款  对生活不能自理的残疾人，地方各级人民政府应当根据情况给予护理补贴。</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1.受理责任：公示法定应当提交的材料；一次性告知补正材料，依法受理或不予受理申请（不予受理的说明理由）。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3.决定责任：作出给付的行政决定，依法送达。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4.法律法规规章文件规定应履行的其他责任。 </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《中华人民共和国残疾人保障法》第四十八条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行政给付 </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对特殊老年人的供养或救助</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第三十一条第三款  对流浪乞讨、遭受遗弃等生活无着的老年人，由地方各级人民政府依照有关规定给予救助。</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1.受理责任：公示法定应当提交的材料；一次性告知补正材料，依法受理或不予受理申请（不予受理的说明理由）。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3.决定责任：作出给付的行政决定，依法送达。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4.法律法规规章文件规定应履行的其他责任。 </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《中华人民共和国老年人权益保障法》第三十一条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行政给付</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军人抚恤优待</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《军人抚恤优待条例》（2019年修正）第三十三条 第一款　义务兵服现役期间，其家庭由当地人民政府发给优待金或者给予其他优待，优待标准不低于当地平均生活水平。</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第四十三条  随军的烈士遗属、因公牺牲军人遗属和病故军人遗属移交地方人民政府安置的，享受本条例和当地人民政府规定的抚恤优待。</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第四十四条  复员军人生活困难的，按照规定的条件，由当地人民政府民政部门给予定期定量补助，逐步改善其生活条件。</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1.受理责任：公示法定应当提交的材料；一次性告知补正材料，依法受理或不予受理申请（不予受理的说明理由）。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3.决定责任：作出给付的行政决定，依法送达。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4.法律法规规章文件规定应履行的其他责任。 </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《军人抚恤优待条例》第三十三条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郑场镇退役军人服务站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行政给付</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对城市生活无着的流浪乞讨人员的救助</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1.受理责任：公示法定应当提交的材料；一次性告知补正材料，依法受理或不予受理申请（不予受理的说明理由）。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3.决定责任：作出给付的行政决定，依法送达。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4.法律法规规章文件规定应履行的其他责任。 </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《城市生活无着的流浪乞讨人员救助管理办法实施细则》(民政部令第24号)第十八条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行政给付</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独生子女入托费、入学费及医疗费等的酌情补助或减免</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《贵州省人口与计划生育条例》（2018年修正）第五十六条第一款第（四）项  有条件的单位、乡镇人民政府、街道办事处(社区)可以酌情补助或者减免独生子女的入托费、入学费、医疗费等。</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3.决定责任：对符合条件的依法进行办理。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《贵州省人口和计划生育条例》第五十六条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对生产经营单位安全生产状况的监督检查（特种设备和食品安全）</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《中华人民共和国安全生产法》第八条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郑场镇市监分局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消防安全监督检查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《中华人民共和国消防法》第三十一条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郑场镇派出所、林业站、安监站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草原防火监督检查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《草原防火条例》第七条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郑场镇林业站、派出所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查验现居住地成年流动人口婚育证明</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《流动人口计划生育工作条例》第八条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对用人单位流动人口计划生育工作的检查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《流动人口计划生育工作条例》第十五条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对适龄儿童、少年接受义务教育情况的检查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《贵州省义务教育条例》第二十四条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郑场中学、郑场中心校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乡镇渡口渡船安全监督检查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《内河渡口渡船安全管理规定》（交通运输部令第9号）第三十五条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行政检查</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对自用船舶适航性的检查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《贵州省乡镇自用船舶安全管理办法》(省人民政府令第120号)第二十条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婚姻登记</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《婚姻法》第八条  要求结婚的男女双方必须亲自到婚姻登记机关进行结婚登记。符合本法规定的，予以登记，发给结婚证。取得结婚证，即确立夫妻关系。未办理结婚登记的，应当补办登记。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第三十一条  男女双方自愿离婚的，准予离婚。双方必须到婚姻登记机关申请离婚。婚姻登记机关查明双方确实是自愿并对子女和财产问题已有适当处理时，发给离婚证。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第八条　男女双方补办结婚登记的，适用本条例结婚登记的规定。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第十四条　离婚的男女双方自愿恢复夫妻关系的，应当到婚姻登记机关办理复婚登记。复婚登记适用本条例结婚登记的规定。</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2.审查责任：对相对人提交的材料进行审查，提出审查意见。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3.决定责任：在规定期限内作出书面决定（不予确认的应说明理由）。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4.送达责任：在规定期限内制作并向申请人送达法律证件。</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《婚姻法》第八条 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行政确认 </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对调整村民小组设置的批准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1.受理责任：公示依法应当提交的材料；一次性告知补正材料；依法受理或不予受理（不予受理应当告知理由）。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2.审查责任：根据有关法律法规规定对申请材料进行审核。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3.决定责任：按照审核结果做出行政确认或不予以行政确认的决定，对不予行政确认的进行解释说明。</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《贵州省实施&lt;中华人民共和国村民委员会组织法&gt;办法》第十三条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29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流动人口婚育证明</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1.受理责任：公示依法应当提交的材料；一次性告知补正材料；依法受理或不予受理（不予受理应当告知理由）。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2.审查责任：根据有关法律法规规定对申请材料进行审核。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3.决定责任：按照审核结果做出行政确认或不予以行政确认的决定，对不予行政确认的进行解释说明。</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《流动人口计划生育工作条例》（国务院令第555号）第七条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流动人口避孕节育情况证明</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1.受理责任：公示依法应当提交的材料；一次性告知补正材料；依法受理或不予受理（不予受理应当告知理由）。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2.审查责任：根据有关法律法规规定对申请材料进行审核。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3.决定责任：按照审核结果做出行政确认或不予以行政确认的决定，对不予行政确认的进行解释说明。</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《流动人口计划生育工作条例》（国务院令第555号令）第十三条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兵役登记</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1.组织实施责任：根据相关规定，组织实施兵役登记。依法对应当相关的材料进行审核，提出审核意见，直接作出登记决定（不予登记的应当告知理由）；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2.事后监管责任：建立实施监督检查的运行机制和管理制度，加强监管。建立档案，公开兵役登记信息；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《征兵工作条例》第十二条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郑场镇人武部</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群众购买毒性中药证明</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1.受理责任：公示依法应当提交的材料；一次性告知补正材料；依法受理或不予受理（不予受理应当告知理由）。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2.审查责任：根据《医疗用毒性药品管理办法》对购买毒性中药证明材料进行审核。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3.决定责任：按照审核结果做出行政确认或不予以行政确认的决定，对不予行政确认的进行解释说明。</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《医疗用毒性药品管理办法》（国务院令第23号令）第十条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郑场镇卫生院</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行政确认 </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法律援助申请人家庭经济状况证明</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《贵州省法律援助条例》（2019年修正）第二十条  申请法律援助应当如实提交下列材料：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（二）申请人所在村（居）民委员会或者乡（镇）人民政府、街道办事处或者工作单位出具的申请人及其家庭成员经济状况证明。</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1.受理责任：公示依法应当提交的材料；一次性告知补正材料；依法受理或不予受理（不予受理应当告知理由）。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2.审查责任：根据有关法律法规规定对申请材料进行审核。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3.决定责任：按照审核结果做出行政确认或不予以行政确认的决定，对不予行政确认的进行解释说明。</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《贵州省法律援助条例》第二十条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郑场镇司法所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行政确认</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劳动者从事个体经营或灵活就业的就业登记</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《就业服务与就业管理规定》（2018年修改）第六十二条第二款  劳动者从事个体经营或灵活就业的，由本人在街道、乡镇公共就业服务机构办理就业登记。</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1.受理环节责任：公示依法应当提交的材料；一次性告知补正材料；依法确认或不予确认（不予确认应当告知理由）。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2.审查和决定环节责任：按照即办件程序，对依法应当提交的文件进行审核；提出审核意见，直接作出行政确认或者不予确认决定（不予认定的应当告知理由）。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3.送达环节责任：发放就业登记证。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4.事后监管责任：建立档案，公开信息；加强监管、防止弄虚作假。</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《就业服务与就业管理规定》（人力资源和社会保障部令第23号）第六十二条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郑场镇人资中心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行政奖励</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对在社会主义建设中做出显著成绩的残疾人，对维护残疾人合法权益、发展残疾人事业、为残疾人服务做出显著成绩的单位和个人的奖励</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1.受理责任：对申报材料进行受理。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2.审查责任:对奖励对象的材料进行审核。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3.公示责任：对符合条件的推荐对象进行公示。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4.决定责任:按照程序报请研究审定，依法进行奖励。                      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《中华人民共和国残疾人保障法》第十三条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行政奖励</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对在人口与计划生育工作中有突出成绩或者特殊贡献的组织和个人的奖励</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《贵州省人口与计划生育条例》（2018年修正）第八条  各级人民政府对在人口与计划生育工作中有突出成绩或者特殊贡献的组织和个人,应当给予表彰和奖励。</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 受理责任：对申报材料进行受理。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2．审查责任:对奖励对象的材料进行审核。</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 公示责任：对符合条件的推荐对象进行公示。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4．决定责任:按照程序报请研究审定，依法进行奖励。                      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 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《贵州省人口与计划生育条例》第八条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行政裁决</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对个人之间、个人与单位之间土地权属争议的处理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《中华人民共和国土地管理法》（2004年修正）第十六条第二款　单位之间的争议，由县级以上人民政府处理；个人之间、个人与单位之间的争议，由乡级人民政府或者县级以上人民政府处理。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1.受理责任：公示申请条件、法定期限、需要提供的申请书及其他资料，一次性告知补正材料。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3.裁决责任：根据事实和法律、法规作出裁决，制作并向双方当事人送送裁决书（说明裁决的理由和依据，并告知当事人的权利救济途径）。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4.事后监管责任：监督当事人严格履行生效裁决书的有关内容。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《中华人民共和国土地管理法》第十六条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行政裁决</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对个人之间、个人与单位之间草原所有权、使用权争议处理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《中华人民共和国草原法》（2013年修正）第十六条第二款   单位之间的争议，由县级以上人民政府处理；个人之间、个人与单位之间的争议，由乡（镇）人民政府或者县级以上人民政府处理。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1.受理责任：公示申请条件、法定期限、需要提供的申请书及其他资料，一次性告知补正材料。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3.裁决责任：根据事实和法律、法规作出裁决，制作并向双方当事人送送裁决书（说明裁决的理由和依据，并告知当事人的权利救济途径）。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4.事后监管责任：监督当事人严格履行生效裁决书的有关内容。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《中华人民共和国草原法》第十六条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39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行政裁决</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对个人之间、个人与单位之间林木所有权、林地使用权争议的处理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《中华人民共和国森林法》（2009年修正）第十七条第二款 个人之间、个人与单位之间发生的林木所有权和林地使用权争议，由当地县级或者乡级人民政府依法处理。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1.受理责任：公示申请条件、法定期限、需要提供的申请书及其他资料，一次性告知补正材料。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3.裁决责任：根据事实和法律、法规作出裁决，制作并向双方当事人送送裁决书（说明裁决的理由和依据，并告知当事人的权利救济途径）。</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4.事后监管责任：监督当事人严格履行生效裁决书的有关内容。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《中华人民共和国森林法》第十七条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郑场镇林业站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适龄儿童、少年因身体状况需要延缓入学或者休学的批准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2.审查责任：对相对人人提交的材料进行审查，提出审查意见。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3.决定责任：在规定期限内作出书面决定（不予确认的应说明理由）。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《中华人民共和国义务教育法》第十一条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郑场中学、郑场中心校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乡镇煤矿安全生产监督管理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《乡镇煤矿管理条例》（2013年修正）第十八条  县级、乡级人民政府应当加强对乡镇煤矿安全生产工作的监督管理，保证煤矿生产的安全。</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1.检查责任：按照法律法规、规章规定和法定程序实施监督检查，检查人员不得少于2人，并应出示行政执法证件。</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《乡镇煤矿管理条例》第十八条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郑场镇安监站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食品摊贩从事食品生产经营活动备案</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1.接收备案材料责任：公示应当提交的材料；对材料符合要求的，依法接收；对材料不符合要求的，不予接收，并一次性告知补正材料，责令补正后重新提交。</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3.决定责任：在规定期限内作出备案登记。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《贵州省食品安全条例》第四十四条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郑场镇市监分局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在乡道、村道的出入口设置限高、限宽设施</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1.调研责任：对是否需要设置限高、限宽设施进行调研。</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2.组织实施责任：对确认需设置的，组织实施。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《公路安全保护条例》第三十四条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责成有关部门改建碍航建筑物或者限期补建过船、过木、过鱼建筑物，清除淤积，恢复通航</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1.立案责任：对依据监督检查职权或者通过举报、投诉、其他部门移送、上级部门交办等途径发现的有关线索，决定是否立案。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2.调查责任：在调查或检查时，执法人员不得少于2人，并向当事人或有关人员出示证件，询问或检查应制作笔录；执法人员与有关部门直接利害关系的，应当回避。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3.审查责任：对案件的事实、收集的证据、有关部门的陈述申辩理由等进行审查，提出处理意见；对情况复杂的，行政机关的负责人应当集体讨论决定。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4.决定责任：作出责成有关部门改建碍航建筑物或者限期补建过船、过木、过鱼建筑物，清除淤积，恢复通航的决定。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5.执行责任：督促有关部门履行的行政决定，对逾期不履行的，依照有关规定处理。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《中华人民共和国航道管理条例》 第十七条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郑场镇水务站、经发办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乡镇自用船舶申请检丈、登记</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《贵州省乡镇自用船舶安全管理办法》（2019年修改）第十二条 乡镇自用船舶的船主应当向所在地的乡（镇）人民政府申请船舶检丈、登记，并提交下列材料：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（一）乡镇自用船舶检丈、登记申请表；</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（二）船主身份证明文件；</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（三）购置发票、建造协议或者船舶主出具船舶合法来源书面承诺。</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2.检丈审查责任：对船舶进行检测丈量，对申请人提交的申请材料进行审查，提出审查意见。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3.决定责任：在规定期限内予以登记或不予登记；不予登记的应告知理由，并告知相对人申请复议或提起行政诉讼的权利。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《贵州省乡镇自用船舶安全管理办法》（省人民政府令第120号）第十二条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乡镇自用船舶登记证书签注</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《贵州省乡镇自用船舶安全管理办法》（2019年修改）第十七条 乡（镇）人民政府对符合第十六条规定条件的人员应当在《贵州省乡镇自用船舶登记证书》上给予签注。</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3.决定责任：在规定期限内予以签注或不予签注；不予签注的应告知理由，并告知相对人申请复议或提起行政诉讼的权利。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《贵州省乡镇自用船舶安全管理办法》（省人民政府令第120号）第十七条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责令限期拖离不适航且无修复价值的乡镇自用船舶</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《贵州省乡镇自用船舶安全管理办法》（2019年修改）第二十二条  不适航且无修复价值的乡镇自用船舶，船主应当及时将其拖离航行水域，消除事故隐患。未拖离的，由乡（镇）人民政府责令限期拖离。</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3.审查责任：对案件的相关事实、收集的证据、办案的程序、当事人的陈述申辩理由等进行审查，提出处理意见。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4.决定责任：依法应当责令限期拖离的，制作盖有行政机关印章的行责令限期拖离决定书，载明相关事实、证据、依据、权利救济途径等内容。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5.送达责任：决定书在决定后七日内依照《民事诉讼法》的有关规定送达当事人。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6.执行责任：督促当事人履行生效的决定，对逾期不履行的，依照《中华人民共和国行政强制法》的规定执行。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《贵州省乡镇自用船舶安全管理办法》（省人民政府令第120号）第二十二条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郑场镇经发办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乡村建设规划许可初审</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在乡、村寨规划区内进行农村村民住宅建设的，应当向村民委员会提出建房申请，报乡、镇人民政府审核，城市、县人民政府城乡规划主管部门核发乡村建设规划许可证。 </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3.呈报责任：在规定期限内将初步审查意见和全部申请材料报送县级人民政府城乡规划主管部门审查。     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《中华人民共和国城乡规划法》第四十一条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49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村民在村庄、集镇规划区内，需使用耕地修建住宅申请的审查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城镇非农业户口居民在村庄、集镇规划区内需要使用集体所有的土地建住宅的，应当经其所在单位或者居民委员会同意后，依照前款第（一）项规定的审批程序办理。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回原籍村庄、集镇落户的职工、退伍军人和离休、退休干部以及回乡定居的华侨、港澳台同胞，在村庄、集镇规划区内需要使用集体所有的土地建住宅的，依照本条第一款第（一）项规定的审批程序办理。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3.呈报责任：在规定期限内将初步审查意见和全部申请材料直接报送县级人民政府建设行政主管部门审查。     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《村庄和集镇规划建设管理条例》第十八条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村民在村庄、集镇规划区内，使用原有宅基地、村内空闲地和其他土地修建住宅申请的批准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（二）使用原有宅基地、村内空闲地和其他土地的，由乡级人民政府根据村庄、集镇规划和土地利用规划批准。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3.决定责任：在规定期限内作出批准或不予批准的书面决定；不批准可应告知理由，并告知相对人申请复议或提起行政诉讼的权利。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4.送达责任：在规定期限内向申请人送达批准证件；建立信息档案；公开有关信息。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《村庄和集镇规划建设管理条例》第十八条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生育服务登记</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（一）夫妻双方的居民身份证；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（二）结婚证；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（三）女方的婚育证明和男方户籍所在地的乡（镇）人民政府或者街道办事处出具的婚育情况证明材料。</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3.决定责任：在规定期限内作出登记或不予登记的书面决定；不予登记的应告知理由。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4.送达责任：在规定期限内向申请人送达登记证明；建立信息档案；公开有关信息。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《流动人口计划生育工作条例》第十六条 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病残儿医学鉴定审核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3.呈报责任：在规定期限内将初步审查意见和全部申请材料直接报送县级计划生育行政部门。     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《病残儿医学鉴定管理办法》（国家计划生育委员会令第7号）第十三条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对新生儿在医疗保健机构以外地点死亡的核查</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1.核查责任：根据监护人的报告，按照有关规定进行核查。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2.处置责任：根据有关规定作出相应处置措施。并向乡镇卫生院或社区卫生服务中心通报有关信息。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《禁止非医学需要的胎儿性别鉴定和选择性别的人工终止妊娠的规定》（国家卫生和计划生育委员会令第9号）第十三条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郑场镇计生办、卫生院</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对侵占、破坏学校体育场地、器材、设备的单位或者个人限期清退和修复场地、赔偿或者修复器材、设备</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4.告知责任：在作出处理决定之前，应当告知当事人作出处理决定的事由、理由及依据，并告知当事人依法享有的权利；当事人依法要求听证的，应组织听证。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5.决定责任：依法应当作出相应处理决定的，制作盖有行政机关印章的行政处理决定书，载明违法事实、证据、处理决定的具体内容、权利救济途径等内容。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6.送达责任：行政处理决定书在决定后七日内依照《民事诉讼法》的有关规定送达当事人。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7.执行责任：督促当事人履行生效的行政处理决定，对逾期不履行的，依照《中华人民共和国行政强制法》的规定执行。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8.法律法规规章文件规定应履行的其他责任。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《学校体育工作条例》（国家教育委员会令第8号）第二十八条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郑场中学、郑场中心校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农村幼儿园举办、停办的登记注册</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《幼儿园管理条例》（国家教育委员会令第4号）第十二条第二款农村幼儿园的举办、停办，由所在乡、镇人民政府登记注册，并报县人民政府教育行政部门备案。</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3.决定责任：在规定期限内予以登记或不予登记；不予登记的应告知理由，并告知相对人申请复议或提起行政诉讼的权利。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《幼儿园管理条例》（国家教育委员会令第4号）第十二条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郑场中学、郑场中心校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对业主大会、业主委员会违法违规作出决定的责令改正或者撤销</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1.审查责任：对业主大会、业主委员会作出的决定进行审查。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2.处置责任：发现业主大会、业主委员会作出的决定违反法律、法规的，作出责令限期改正或撤销决定。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3.事后监管责任：督促业主大会、业主委员会履行生效的决定。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《物业管理条例》第十九条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前期物业服务合同备案</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1.接收备案材料责任：公示应当提交的材料；对材料符合要求的，依法接收；对材料不符合要求的，不予接收，并一次性告知补正材料，责令补正后重新提交。</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3.决定责任：在规定期限内作出备案登记。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《贵州省物业管理条例》第五十条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廉租住房保障申请初审</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《廉租住房保障办法》（建设部令第162号）第十七条第一款 申请廉租住房保障，按照下列程序办理：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（一）申请廉租住房保障的家庭，应当由户主向户口所在地街道办事处或者镇人民政府提出书面申请；</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3.呈报责任：在规定期限内将初步审查意见和全部申请材料报送县级人民政府建设（住房保障）部门审核。     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《廉租住房保障办法》（建设部令第162号）第十七条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59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村规民约备案</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《中华人民共和国村民委员会组织法》（2018年修正）第二十七条第一款　村民会议可以制定和修改村民自治章程、村规民约，并报乡、民族乡、镇的人民政府备案。</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1.接收备案材料责任：公示应当提交的材料；对材料符合要求的，依法接收；对材料不符合要求的，不予接收，并一次性告知补正材料，责令补正后重新提交。</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3.决定责任：在规定期限内作出备案登记。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《中华人民共和国村民委员会组织法》第二十七条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监督社区戒毒人员</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《贵州省禁毒条例》（2013年修正）第十条  城市街道办事处(社区)、乡镇人民政府负责社区戒毒、社区康复工作，指导居民委员会、村民委员会做好禁种、禁制、禁贩、禁吸毒品的教育宣传，落实禁毒防范措施。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1.检查责任：根据有关情况对社区戒毒人员情意况进行检查。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《中华人民共和国禁毒法》第三十九条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郑场镇派出所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对居民住房恢复重建补助对象的审核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3.呈报责任：在规定期限内将初步审查意见和全部申请材料直接报送县级人民政府民政等部门审批。     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《自然灾害救助条例》第二十条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对设置农村村民公益性墓地审核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《殡葬管理条例》（2012年修订）第八条第三款  农村为村民设置公益性墓地，经乡级人民政府审核同意后，报县级人民政府民政部门审批。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3.呈报责任：在规定期限内将初步审查意见和全部申请材料直接报送县级人民政府民政部门审批。     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殡葬管理条例》第八条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城乡居民申请最低生活保障待遇审核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《社会救助暂行办法》（国务院令第649号）第四条第一款 乡镇人民政府、街道办事处负责有关社会救助的申请受理、调查审核，具体工作由社会救助经办机构或者经办人员承担。</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第十一条第（一）项 由共同生活的家庭成员向户籍所在地的乡镇人民政府、街道办事处提出书面申请；家庭成员申请有困难的，可以委托村民委员会、居民委员会代为提出申请。</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《城市居民最低生活保障条例》第四条第二款　县级人民政府民政部门以及街道办事处和镇人民政府（以下统称管理审批机关）负责城市居民最低生活保障的具体管理审批工作。   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2.审查责任：对申请人提交的申请材料进行审查核实，提出初步审查意见。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3.呈报责任：在规定期限内将初步审查意见和全部申请材料报送县级人民政府民政部门审批。     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特困人员供养待遇及核销的审核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特困人员供养的审批程序适用本办法第十一条规定。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3.呈报责任：在规定期限内将初步审查意见和全部申请材料直接报送县级人民政府民政部门审批。     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社会救助暂行办法》（国务院令第649号）第十六条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医疗救助初审 </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2.审查责任：对申请人提交的申请材料进行审查，提出初步审查意见，并公示。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3.呈报责任：在规定期限内将初步审查意见和全部申请材料直接报送县级人民政府民政部门审批。     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《社会救助暂行办法》（国务院令第649号）第三十条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临时救助初审</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3.呈报责任：在规定期限内将初步审查意见和全部申请材料直接报送县级人民政府民政部门审批。     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《社会救助暂行办法》（国务院令第649号）第四十八条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对五保供养服务不符合要求的责令限期改正及终止供养服务协议</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3.审查责任：对案件的违法事实、收集的证据、办案的程序、当事人的陈述申辩理由等进行审查，提出处理意见；对情节复杂的，行政机关的负责人应当集体讨论决定。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《农村五保供养工作条例》第二十四条 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对五保对象入农村敬老院的批准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《农村敬老院管理暂行办法》（民政部令第1号）第八条第一款  五保对象入敬老院须由本人提出申请，经乡镇人民政府（村办敬老院经村民委员会）批准，并由本人和敬老院双方签定入院协议。</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3.决定责任：在规定期限内作出批准或不予批准的书面决定；不予批准应告知理由，并告知相对人申请复议或提起行政诉讼的权利。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4.送达责任：在规定期限内向申请人送达批准的证明；建立信息档案；公开有关信息。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《农村敬老院管理暂行办法》（民政部令第1号）第八条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69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伤残抚恤对象残疾等级评定的审核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2.审查责任：对申请人提交的申请材料进行审查，审核要求调整和评定残疾等级人员档案材料，核对伤残信息等；提出初审意见。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3.呈报责任：乡镇人民政府审查评定残疾等级申请后出具书面意见，连同本人档案材料、书面申请和本人近期二寸免冠彩色照片等一并报送户籍所在地的县级人民政府民政部门审查。     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《伤残抚恤管理办法》（民政部令第50号） 第五条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郑场镇退役军人服务站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受理进入光荣院集中供养的申请</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2..审查责任：审核申请人有关材料，对符合条件的，登记其个人信息，收取必需材料，上报光荣院主管部门审核批准；对不符合条件的及时说明原因。</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3.事后监管责任：建立实施监督检查的运行机制和管理制度，加强监管。建立信息档案；公开有关信息。</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《光荣院管理办法》（民政部令第40号） 第八条 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郑场镇退役军人服务站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自然灾害救助款物的发放审核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3.呈报责任：在规定期限内将初步审查意见和全部申请材料直接报送县级人民政府民政部门。     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《贵州省自然灾害救助款物管理办法》（省人民政府令第103号）第十六条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郑场镇社事办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为应对突发事件征用单位和个人的财产</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1.作出征用决定责任：根据应对突发事件的需要，作出征用决定。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2.返还或补偿责任：使用完毕或处置工作结束后及时返还或补偿。</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《中华人民共和国突发事件应对法》第十二条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郑场镇安监站</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执行民间纠纷案处理决定决定</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1.矛盾纠纷排查责任：定期或不定期排查相关矛盾纠纷。</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2.调查处理责任：调查有关事实，听取矛盾纠纷各该当事人的陈述和申辩；进行调解；达不成调解协议的，依据法律和政策作出处理决定。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3.告知责任：告知当事人在乡镇政府做出纠纷处理决定后其权利和义务；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3.执行责任：督促当事人履行生行政处理决定，对逾期不履行的，依照有关规定执行。</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《中华人民共和国突发事件应对法》第二十一条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《民间纠纷处理办法》第二十一条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郑场镇综治办</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对土地承包经营期限内，承包经营者之间承包土地进行调整的批准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3.转送责任：在规定期限内将审查意见和全部申请材料报送县级人民政府农业行政主管部门批准。     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《中华人民共和国土地管理法》第十四条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采取措施实施土地整理</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《中华人民共和国土地管理法》第三十五条  各级人民政府应当采取措施，维护排灌工程设施，改良土壤，提高地力，防止土地荒漠化、盐渍化、水土流失和污染土地。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《中华人民共和国土地管理法实施条例》第十八条  县、乡（镇）人民政府应当按照土地利用总体规划，组织农村集体经济组织制定土地整理方案，并组织实施。</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1.拟定整理方案责任：开展调研，拟定整理方案。</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2.公示整理方案责任：公示整理方案，征求意见。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3.审查决定责任：对整理方案进行审查，经集体讨论作出整理决定。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4.组织实施责任：按方案组织实施。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5.验收责任：根据方案规定的整理标准进行验收。</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6.法律法规规章文件规定应履行的其他责任。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《中华人民共和国土地管理法》第三十五条、第四十一条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《中华人民共和国土地管理法实施条例》第十八条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郑场镇自然资源所、农服中心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对乡(镇)村公共设施、公益事业建设用地的审核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3.呈报责任：在规定期限内将初步审查意见和全部申请材料报送县级人民政府土地行政主管部门。     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 第六十一条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农村居民住宅用地审核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《中华人民共和国土地管理法》（2004年修正）第六十二条  农村村民一户只能拥有一处宅基地，其宅基地的面积不得超过省、自治区、直辖市规定的标准。</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农村村民建住宅，应当符合乡（镇）土地利用总体规划，并尽量使用原有的宅基地和村内空闲地。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农村村民住宅用地，经乡（镇）人民政府审核，由县级人民政府批准；其中，涉及占用农用地的，依照本法第四十四条的规定办理审批手续。</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农村村民出卖、出租住房后，再申请宅基地的，不予批准。</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2.审查责任：对申请人提交的申请材料进行审查，提出初审意见。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3.呈报责任：在规定期限内将审核意见和全部申请材料报送县级人民政府批准。     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《中华人民共和国土地管理法》第六十二条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对在村庄、集镇规划区内，违法占地的，责令退回</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1.检查责任：按照法律法规、规章规定和法定程序实施检查，检查人员不得少于2人。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《村庄和集镇规划建设管理条例》第三十六条 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郑场镇村建中心、自然资源所、执法分局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79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对农产品生产活动的指导、监管</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《贵州省农产品质量安全条例》（2017年修正）第五条第三款：“乡、镇人民政府应当加强对本行政区域内农产品生产活动的指导、监督, 落实农产品质量安全管理责任。”</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1.检查责任：按照法律法规、规章规定和法定程序实施检查，检查人员不得少于2人，并应出示行政执法证件。</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2.处置责任：根据有关规定作出相应处置措施。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3.事后监管责任：对监测检查情况进行汇总、分类、归档被查，并跟踪监测。</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《贵州省农产品质量安全条例》第五条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80</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对实行家庭承包方式的农村土地承包经营权颁证的审核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《中华人民共和国农村土地承包经营权证管理办法》（农业部令第33号）第七条  实行家庭承包的，按下列程序颁发农村土地承包经营权证：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（一）土地承包合同生效后，发包方应在30个工作日内，将土地承包方案、承包方及承包土地的详细情况、土地承包合同等材料一式两份报乡（镇）人民政府农村经营管理部门。</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2.审查责任：对申请人提交的申请材料进行审查，提出初审意见。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3.呈报责任：在规定期限内将初审意见和全部申请材料报送县级人民政府农业行政主管部门审核。     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《中华人民共和国农村土地承包经营权证管理办法》（农业部令第33号）第七条 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81</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对以招标、拍卖、公开协商等方式承包农村土地办理农村土地承包经营权证的初审</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《中华人民共和国农村土地承包经营权证管理办法》（农业部令第33号）第八条  实行招标、拍卖、公开协商等方式承包农村土地的，按下列程序办理农村土地承包经营权证：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（一）土地承包合同生效后，承包方填写农村土地承包经营权证登记申请书，报承包土地所在乡（镇）人民政府农村经营管理部门。</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（二）乡（镇）人民政府农村经营管理部门对发包方和承包方的资格、发包程序、承包期限、承包地用途等予以初审，并在农村土地承包经营权证登记申请书上签署初审意见。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（三）承包方持乡（镇）人民政府初审通过的农村土地承包经营权登记申请书，向县级以上地方人民政府申请农村土地承包经营权证登记。</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2.审查责任：对申请人提交的申请材料进行审查，提出初步审查意见，未通过审查应告知理由，并告知相对人申请复议或提起行政诉讼的权利。</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《中华人民共和国农村土地承包经营权证管理办法》（农业部令第33号）第八条 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82</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换发、补发农村土地承包经营权证的审核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3.转送责任：在规定期限内将审查意见和全部申请材料报送原发证机关办理换发、补发手续。     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《中华人民共和国农村土地承包经营权证管理办法》（农业部令第33号）第十七条 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15" w:hRule="atLeast"/>
        </w:trPr>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83</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土地承包经营权流转合同备案</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《农村土地承包经营权流转管理办法》（农业部令第47号）第二十一条第二款 农村土地承包经营权流转合同一式四份，流转双方各执一份，发包方和乡(镇)人民政府农村土地承包管理部门各备案一份。</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1.接收备案材料责任：公示应当提交的材料；对材料符合要求的，依法接收；对材料不符合要求的，不予接收，并一次性告知补正材料，责令补正后重新提交。</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3.决定责任：在规定期限内作出备案登记。</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4.监管责任：建立信息档案；公开有关信息；建立实施监督检查的运行机制和管理制度，加强监管。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《农村土地承包经营权流转管理办法》（农业部令第47号）第二十一条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84</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组织开展动物疫病强制免疫</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《中华人民共和国动物防疫法》（2015年修正）第六条 乡级人民政府、城市街道办事处应当组织群众协助做好本管辖区域内的动物疫病预防与控制工作。</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第十四条 乡级人民政府、城市街道办事处应当组织本管辖区域内饲养动物的单位和个人做好强制免疫工作。</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第六十三条 县级人民政府和乡级人民政府应当采取有效措施，加强村级防疫员队伍建设。</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县级人民政府兽医主管部门可以根据动物防疫工作需要，向乡、镇或者特定区域派驻兽医机构。</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2.组织本管辖区域内饲养动物的单位和个人做好强制免疫工作；做好预防控制措施；及时上报县动物卫生部门疫情以及控制情况；</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3.现场检查动物疾病强制免疫情况；</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《中华人民共和国动物防疫法》第六条、第六十三条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郑场镇农服中心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85</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捕杀狂犬、野犬</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《中华人民共和国传染病防治法实施办法》（卫生部令第17号）第二十九条第（三）项  乡（镇）政府负责辖区内养犬的管理，捕杀狂犬、野犬。</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1.建立队伍责任：组建应急队伍，制定应急方案，并在辖区内加大宣传力度，公开联系方式。</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2.组织实施捕杀责任：收到有狂犬、野犬信息后，立即组织人员，并联系当地公安派出机关；及时赶赴事发地对狂犬、野犬进行捕杀；</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3.善后责任：加大受伤人员的紧急医治工作；对被捕杀的狂犬、野犬进行妥善处置。</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4.报告责任：如出现狂犬、野犬较多的情况，及时上报县级政府动物卫生部门。</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《中华人民共和国传染病防治法实施办法》第二十九条第（三）项</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派出所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25" w:hRule="atLeast"/>
        </w:trPr>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86</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对危害文物保护单位安全、破坏文物保护单位历史风貌的建筑物、构筑物的拆迁</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1.调查研究责任：对可能危害文物保护单位安全、破坏文物保护单位历史风貌的建筑物、构筑物进行调查。</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2.决定责任：对危害文物保护单位安全、破坏文物保护单位历史风貌的建筑物、构筑物作出处理决定。</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3.组织实施责任：根据处理决定组织实施。</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《文物保护法》第二十六条第二款</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郑场镇文服中心、执法分局、村建中心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87</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设立乡村集体所有制企业的审核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3.呈报责任：在规定期限内将初步审查意见和全部申请材料报送县级人民政府乡镇企业主管部门以及法律、法规规定的有关部门批准。     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《中华人民共和国乡村集体所有制企业条例》第十四条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郑场镇市监分局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88</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耕地占用税免征或者减征审核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2.审查责任：对申请人提交的申请材料进行审查，提出初审意见。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3.呈报责任：在规定期限内将审核意见和全部申请材料报送县级人民政府批准。     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《中华人民共和国耕地占用税暂行条例》第十条</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郑场镇自然资源所</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nil"/>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89</w:t>
            </w:r>
          </w:p>
        </w:tc>
        <w:tc>
          <w:tcPr>
            <w:tcW w:w="57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其他类</w:t>
            </w:r>
          </w:p>
        </w:tc>
        <w:tc>
          <w:tcPr>
            <w:tcW w:w="1020"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设立健身气功站点的审核</w:t>
            </w:r>
          </w:p>
        </w:tc>
        <w:tc>
          <w:tcPr>
            <w:tcW w:w="41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496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1.受理责任：公示法定应当提交的材料；一次性告知补正材料；依法受理或不予受理申请（不予受理应当告知理由）。</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2.审查责任：对申请人提交的申请材料进行审查，提出初步审查意见。</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3.呈报责任：在规定期限内将初步审查意见和全部申请材料报送当地具有相应管辖权限的体育行政部门审批。     </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4.事后监管责任：建立实施监督检查的运行机制和管理制度，加强监管。</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5.法律法规规章文件规定应履行的其他责任。</w:t>
            </w:r>
          </w:p>
        </w:tc>
        <w:tc>
          <w:tcPr>
            <w:tcW w:w="1455" w:type="dxa"/>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《健身气功管理办法》（国家体育总局令第9号）第十七条 </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郑场镇文服中心</w:t>
            </w:r>
          </w:p>
        </w:tc>
        <w:tc>
          <w:tcPr>
            <w:tcW w:w="0" w:type="auto"/>
            <w:tcBorders>
              <w:top w:val="nil"/>
              <w:left w:val="nil"/>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仿宋" w:hAnsi="仿宋" w:eastAsia="仿宋" w:cs="仿宋"/>
                <w:b/>
                <w:bCs/>
                <w:sz w:val="21"/>
                <w:szCs w:val="21"/>
                <w:bdr w:val="none" w:color="auto" w:sz="0" w:space="0"/>
              </w:rPr>
              <w:t>乡（镇）法定代表人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分管负责人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承办机构负责人</w:t>
            </w:r>
            <w:r>
              <w:rPr>
                <w:rFonts w:hint="eastAsia" w:ascii="仿宋" w:hAnsi="仿宋" w:eastAsia="仿宋" w:cs="仿宋"/>
                <w:b/>
                <w:bCs/>
                <w:sz w:val="21"/>
                <w:szCs w:val="21"/>
                <w:bdr w:val="none" w:color="auto" w:sz="0" w:space="0"/>
              </w:rPr>
              <w:br w:type="textWrapping"/>
            </w:r>
            <w:r>
              <w:rPr>
                <w:rFonts w:hint="eastAsia" w:ascii="仿宋" w:hAnsi="仿宋" w:eastAsia="仿宋" w:cs="仿宋"/>
                <w:b/>
                <w:bCs/>
                <w:sz w:val="21"/>
                <w:szCs w:val="21"/>
                <w:bdr w:val="none" w:color="auto" w:sz="0" w:space="0"/>
              </w:rPr>
              <w:t>具体承办人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rPr>
          <w:rFonts w:hint="eastAsia"/>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776406D4"/>
    <w:rsid w:val="3CC30798"/>
    <w:rsid w:val="5DF7365C"/>
    <w:rsid w:val="7764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2024-01-29T03:40:00Z</dcterms:created>
  <dc:creator>17785269434</dc:creator>
  <cp:lastModifiedBy>17785269434</cp:lastModifiedBy>
  <dcterms:modified xsi:type="dcterms:W3CDTF">2024-01-29T03:48:01Z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8BE50A0E34BD4030B6F7E52823698E19_11</vt:lpwstr>
  </property>
</Properties>
</file>