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rPr>
      </w:pPr>
      <w:bookmarkStart w:id="0" w:name="_Toc14302"/>
      <w:bookmarkStart w:id="1" w:name="_Toc13005"/>
      <w:bookmarkStart w:id="2" w:name="_Toc25523"/>
      <w:bookmarkStart w:id="10" w:name="_GoBack"/>
      <w:r>
        <w:rPr>
          <w:rFonts w:hint="eastAsia" w:ascii="方正小标宋简体" w:hAnsi="方正小标宋简体" w:eastAsia="方正小标宋简体" w:cs="方正小标宋简体"/>
          <w:b w:val="0"/>
          <w:bCs w:val="0"/>
          <w:sz w:val="44"/>
          <w:szCs w:val="44"/>
          <w:lang w:val="en-US" w:eastAsia="zh-CN"/>
        </w:rPr>
        <w:t>绥阳</w:t>
      </w:r>
      <w:r>
        <w:rPr>
          <w:rFonts w:hint="eastAsia" w:ascii="方正小标宋简体" w:hAnsi="方正小标宋简体" w:eastAsia="方正小标宋简体" w:cs="方正小标宋简体"/>
          <w:b w:val="0"/>
          <w:bCs w:val="0"/>
          <w:sz w:val="44"/>
          <w:szCs w:val="44"/>
        </w:rPr>
        <w:t>县202</w:t>
      </w:r>
      <w:r>
        <w:rPr>
          <w:rFonts w:hint="eastAsia" w:ascii="方正小标宋简体" w:hAnsi="方正小标宋简体" w:eastAsia="方正小标宋简体" w:cs="方正小标宋简体"/>
          <w:b w:val="0"/>
          <w:bCs w:val="0"/>
          <w:sz w:val="44"/>
          <w:szCs w:val="44"/>
          <w:lang w:val="en-US" w:eastAsia="zh-CN"/>
        </w:rPr>
        <w:t>5</w:t>
      </w:r>
      <w:r>
        <w:rPr>
          <w:rFonts w:hint="eastAsia" w:ascii="方正小标宋简体" w:hAnsi="方正小标宋简体" w:eastAsia="方正小标宋简体" w:cs="方正小标宋简体"/>
          <w:b w:val="0"/>
          <w:bCs w:val="0"/>
          <w:sz w:val="44"/>
          <w:szCs w:val="44"/>
        </w:rPr>
        <w:t>年秸秆综合利用重点县建设</w:t>
      </w:r>
    </w:p>
    <w:p>
      <w:pPr>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项目</w:t>
      </w:r>
      <w:bookmarkEnd w:id="0"/>
      <w:bookmarkStart w:id="3" w:name="_Toc27360"/>
      <w:r>
        <w:rPr>
          <w:rFonts w:hint="eastAsia" w:ascii="方正小标宋简体" w:hAnsi="方正小标宋简体" w:eastAsia="方正小标宋简体" w:cs="方正小标宋简体"/>
          <w:b w:val="0"/>
          <w:bCs w:val="0"/>
          <w:sz w:val="44"/>
          <w:szCs w:val="44"/>
        </w:rPr>
        <w:t>实</w:t>
      </w:r>
      <w:bookmarkEnd w:id="3"/>
      <w:bookmarkStart w:id="4" w:name="_Toc26473"/>
      <w:r>
        <w:rPr>
          <w:rFonts w:hint="eastAsia" w:ascii="方正小标宋简体" w:hAnsi="方正小标宋简体" w:eastAsia="方正小标宋简体" w:cs="方正小标宋简体"/>
          <w:b w:val="0"/>
          <w:bCs w:val="0"/>
          <w:sz w:val="44"/>
          <w:szCs w:val="44"/>
        </w:rPr>
        <w:t>施</w:t>
      </w:r>
      <w:bookmarkEnd w:id="4"/>
      <w:bookmarkStart w:id="5" w:name="_Toc22927"/>
      <w:r>
        <w:rPr>
          <w:rFonts w:hint="eastAsia" w:ascii="方正小标宋简体" w:hAnsi="方正小标宋简体" w:eastAsia="方正小标宋简体" w:cs="方正小标宋简体"/>
          <w:b w:val="0"/>
          <w:bCs w:val="0"/>
          <w:sz w:val="44"/>
          <w:szCs w:val="44"/>
        </w:rPr>
        <w:t>方</w:t>
      </w:r>
      <w:bookmarkEnd w:id="5"/>
      <w:bookmarkStart w:id="6" w:name="_Toc4744"/>
      <w:r>
        <w:rPr>
          <w:rFonts w:hint="eastAsia" w:ascii="方正小标宋简体" w:hAnsi="方正小标宋简体" w:eastAsia="方正小标宋简体" w:cs="方正小标宋简体"/>
          <w:b w:val="0"/>
          <w:bCs w:val="0"/>
          <w:sz w:val="44"/>
          <w:szCs w:val="44"/>
        </w:rPr>
        <w:t>案</w:t>
      </w:r>
      <w:bookmarkEnd w:id="1"/>
      <w:bookmarkEnd w:id="2"/>
      <w:bookmarkEnd w:id="6"/>
    </w:p>
    <w:bookmarkEnd w:id="10"/>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为贯彻党中央、国务院有关决策部署，落实中央农村工作会议有关精神，保护生态环境，根据《贵州省财政厅 贵州省农业农村厅关于提前下达2025年中央财政农业生态资源保护（农膜科学使用试点、农作物秸秆综合利用、渔业资源保护）资金的通知》黔财农</w:t>
      </w:r>
      <w:r>
        <w:rPr>
          <w:rFonts w:hint="eastAsia" w:ascii="仿宋_GB2312" w:hAnsi="仿宋_GB2312" w:eastAsia="仿宋_GB2312" w:cs="仿宋_GB2312"/>
          <w:b w:val="0"/>
          <w:bCs w:val="0"/>
          <w:snapToGrid/>
          <w:sz w:val="32"/>
          <w:szCs w:val="32"/>
          <w:lang w:val="en-US" w:eastAsia="zh-CN"/>
        </w:rPr>
        <w:t>〔2024〕</w:t>
      </w:r>
      <w:r>
        <w:rPr>
          <w:rFonts w:hint="eastAsia" w:ascii="仿宋_GB2312" w:hAnsi="仿宋_GB2312" w:eastAsia="仿宋_GB2312" w:cs="仿宋_GB2312"/>
          <w:lang w:val="en-US" w:eastAsia="zh-CN"/>
        </w:rPr>
        <w:t>194号文件要求，全面推动绥阳县秸秆综合利用水平，构建秸秆综合利用长效机制，有效促进农业绿色低碳发展、提升耕地质量、改善农业农村生态环境，促进秸秆资源高效循环利用，结合我县实际，特制定本方案。</w:t>
      </w:r>
    </w:p>
    <w:p>
      <w:pPr>
        <w:pStyle w:val="14"/>
        <w:keepNext w:val="0"/>
        <w:keepLines w:val="0"/>
        <w:pageBreakBefore w:val="0"/>
        <w:widowControl w:val="0"/>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一、总体要求</w:t>
      </w:r>
    </w:p>
    <w:p>
      <w:pPr>
        <w:pStyle w:val="15"/>
        <w:keepNext w:val="0"/>
        <w:keepLines w:val="0"/>
        <w:pageBreakBefore w:val="0"/>
        <w:widowControl/>
        <w:kinsoku/>
        <w:wordWrap/>
        <w:overflowPunct/>
        <w:topLinePunct w:val="0"/>
        <w:autoSpaceDE/>
        <w:autoSpaceDN/>
        <w:bidi w:val="0"/>
        <w:adjustRightInd/>
        <w:snapToGrid/>
        <w:spacing w:beforeAutospacing="0" w:afterAutospacing="0" w:line="560" w:lineRule="exact"/>
        <w:jc w:val="left"/>
        <w:textAlignment w:val="auto"/>
        <w:outlineLvl w:val="1"/>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（一）指导思想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仿宋_GB2312" w:hAnsi="仿宋_GB2312" w:eastAsia="仿宋_GB2312" w:cs="仿宋_GB2312"/>
          <w:lang w:val="en-US" w:eastAsia="zh-CN"/>
        </w:rPr>
      </w:pPr>
      <w:r>
        <w:rPr>
          <w:rFonts w:hint="eastAsia" w:ascii="楷体_GB2312" w:hAnsi="楷体_GB2312" w:eastAsia="楷体_GB2312" w:cs="楷体_GB2312"/>
          <w:b w:val="0"/>
          <w:bCs w:val="0"/>
          <w:color w:val="000000"/>
          <w:kern w:val="0"/>
          <w:sz w:val="32"/>
          <w:szCs w:val="32"/>
          <w:lang w:val="en-US" w:eastAsia="zh-CN" w:bidi="ar-SA"/>
        </w:rPr>
        <w:t>（二）</w:t>
      </w:r>
      <w:r>
        <w:rPr>
          <w:rFonts w:hint="eastAsia" w:ascii="仿宋_GB2312" w:hAnsi="仿宋_GB2312" w:eastAsia="仿宋_GB2312" w:cs="仿宋_GB2312"/>
          <w:lang w:val="en-US" w:eastAsia="zh-CN"/>
        </w:rPr>
        <w:t>坚持以习近平新时代中国特色社会主义思想为指导，认真落实中共中央国务院关于乡村振兴战略的意见，统筹推进“五位一体”总体布局和“四个全面”战略布局，牢固树立五大发展理念，按照相关要求，坚持“生态优先，绿色发展”，坚持政府支持、企业主体、市场运作方针，以绿色生态为导向，以提高农业废弃物资源化综合利用率、消除农业面源污染、提高土地肥力为目标，以种养结合、农业循环、综合利用为主线，建立有效的农作物秸秆资源化利用机制、市场运营模式、政策支持体系和责任监督制度，强化责任落实，完善扶持政策，严格执法监管，加强科技支撑，全面推进农作物秸秆资源化利用，加快构建生态循环农业的可持续发展新格局。按照生态文明、农业现代化建设总要求，围绕农作物秸秆综合利用循环农业总目标，探索种养结合、生态循环的发展模式，努力提升农业废弃物综合利用水平，创新市场运行模式，以企业为主体，做大做强农业废弃物资源化利用产业，构建全覆盖、全收集、全处理、全利用模式，着力形成农业产业融合发展、资源循环利用高效、生产清洁可控、农业环境持续改善、农产品优质安全、经济效益明显的现代生态循环农业体系和农业可持续发展的长效机制。</w:t>
      </w:r>
    </w:p>
    <w:p>
      <w:pPr>
        <w:pStyle w:val="14"/>
        <w:keepNext w:val="0"/>
        <w:keepLines w:val="0"/>
        <w:pageBreakBefore w:val="0"/>
        <w:widowControl w:val="0"/>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二、基本条件</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仿宋_GB2312" w:hAnsi="仿宋_GB2312" w:eastAsia="仿宋_GB2312" w:cs="仿宋_GB2312"/>
          <w:lang w:val="en-US" w:eastAsia="zh-CN"/>
        </w:rPr>
      </w:pPr>
      <w:r>
        <w:rPr>
          <w:rFonts w:hint="eastAsia" w:ascii="楷体_GB2312" w:hAnsi="楷体_GB2312" w:eastAsia="楷体_GB2312" w:cs="楷体_GB2312"/>
          <w:b w:val="0"/>
          <w:bCs w:val="0"/>
          <w:color w:val="000000"/>
          <w:kern w:val="0"/>
          <w:sz w:val="32"/>
          <w:szCs w:val="32"/>
          <w:lang w:val="en-US" w:eastAsia="zh-CN" w:bidi="ar-SA"/>
        </w:rPr>
        <w:t>地理位置和气候特点。</w:t>
      </w:r>
      <w:r>
        <w:rPr>
          <w:rFonts w:hint="eastAsia" w:ascii="仿宋_GB2312" w:hAnsi="仿宋_GB2312" w:eastAsia="仿宋_GB2312" w:cs="仿宋_GB2312"/>
          <w:lang w:val="en-US" w:eastAsia="zh-CN"/>
        </w:rPr>
        <w:t>绥阳县位于</w:t>
      </w: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"https://baike.sogou.com/lemma/ShowInnerLink.htm?lemmaId=117768&amp;ss_c=ssc.citiao.link" \t "https://baike.sogou.com/_blank"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lang w:val="en-US" w:eastAsia="zh-CN"/>
        </w:rPr>
        <w:t>贵州省北部，大娄山中段，</w:t>
      </w:r>
      <w:r>
        <w:rPr>
          <w:rFonts w:hint="eastAsia" w:ascii="仿宋_GB2312" w:hAnsi="仿宋_GB2312" w:eastAsia="仿宋_GB2312" w:cs="仿宋_GB2312"/>
          <w:lang w:val="en-US" w:eastAsia="zh-CN"/>
        </w:rPr>
        <w:fldChar w:fldCharType="end"/>
      </w:r>
      <w:r>
        <w:rPr>
          <w:rFonts w:hint="eastAsia" w:ascii="仿宋_GB2312" w:hAnsi="仿宋_GB2312" w:eastAsia="仿宋_GB2312" w:cs="仿宋_GB2312"/>
          <w:lang w:val="en-US" w:eastAsia="zh-CN"/>
        </w:rPr>
        <w:t>东连湄潭，南临汇川区，西接桐梓，北靠正安，总面积2566平方公里。地形以山地为主，平均海拔866米，地势呈西北高，东南低，有500亩以上坝区18个，其中万亩大坝4个，平均气温18-20℃，全年气候温和，冬无严寒，夏无酷暑。</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仿宋_GB2312" w:hAnsi="仿宋_GB2312" w:eastAsia="仿宋_GB2312" w:cs="仿宋_GB2312"/>
          <w:lang w:val="en-US" w:eastAsia="zh-CN"/>
        </w:rPr>
      </w:pPr>
      <w:r>
        <w:rPr>
          <w:rFonts w:hint="eastAsia" w:ascii="楷体_GB2312" w:hAnsi="楷体_GB2312" w:eastAsia="楷体_GB2312" w:cs="楷体_GB2312"/>
          <w:b w:val="0"/>
          <w:bCs w:val="0"/>
          <w:color w:val="000000"/>
          <w:kern w:val="0"/>
          <w:sz w:val="32"/>
          <w:szCs w:val="32"/>
          <w:lang w:val="en-US" w:eastAsia="zh-CN" w:bidi="ar-SA"/>
        </w:rPr>
        <w:t>农业发展状况。</w:t>
      </w:r>
      <w:r>
        <w:rPr>
          <w:rFonts w:hint="eastAsia" w:ascii="仿宋_GB2312" w:hAnsi="仿宋_GB2312" w:eastAsia="仿宋_GB2312" w:cs="仿宋_GB2312"/>
          <w:lang w:val="en-US" w:eastAsia="zh-CN"/>
        </w:rPr>
        <w:t>近年来，绥阳县立足坝区、山区、林区资源禀赋，因地制宜制定30万亩辣椒、30万亩金银花、20万亩蔬菜、10万亩红高粱、10万亩茶叶、50万亩方竹的“332115”产业规划布局，坚持“内强培育、外强招引”的发展模式，推动形成一二三产业融合、接二连三、良性互动的复合业态，促进现代农业高速发展，实现了农业提质增效、农民增收致富，有力的助推绥阳经济发展。</w:t>
      </w:r>
    </w:p>
    <w:p>
      <w:pPr>
        <w:pStyle w:val="15"/>
        <w:keepNext w:val="0"/>
        <w:keepLines w:val="0"/>
        <w:pageBreakBefore w:val="0"/>
        <w:widowControl/>
        <w:kinsoku/>
        <w:wordWrap/>
        <w:overflowPunct/>
        <w:topLinePunct w:val="0"/>
        <w:autoSpaceDE/>
        <w:autoSpaceDN/>
        <w:bidi w:val="0"/>
        <w:adjustRightInd/>
        <w:snapToGrid/>
        <w:spacing w:beforeAutospacing="0" w:afterAutospacing="0" w:line="560" w:lineRule="exact"/>
        <w:jc w:val="left"/>
        <w:textAlignment w:val="auto"/>
        <w:outlineLvl w:val="1"/>
        <w:rPr>
          <w:rFonts w:hint="eastAsia" w:ascii="仿宋_GB2312" w:hAnsi="仿宋_GB2312" w:eastAsia="仿宋_GB2312" w:cs="仿宋_GB2312"/>
          <w:color w:val="000000"/>
          <w:sz w:val="32"/>
          <w:szCs w:val="32"/>
          <w:lang w:val="en-US" w:eastAsia="zh-CN"/>
        </w:rPr>
      </w:pPr>
      <w:r>
        <w:rPr>
          <w:rFonts w:hint="eastAsia" w:ascii="楷体_GB2312" w:hAnsi="楷体_GB2312" w:eastAsia="楷体_GB2312" w:cs="楷体_GB2312"/>
          <w:b w:val="0"/>
          <w:bCs w:val="0"/>
          <w:sz w:val="32"/>
          <w:szCs w:val="32"/>
          <w:lang w:val="en-US" w:eastAsia="zh-CN"/>
        </w:rPr>
        <w:t>（三）秸秆</w:t>
      </w:r>
      <w:r>
        <w:rPr>
          <w:rFonts w:hint="eastAsia" w:ascii="楷体_GB2312" w:hAnsi="楷体_GB2312" w:eastAsia="楷体_GB2312" w:cs="楷体_GB2312"/>
          <w:b w:val="0"/>
          <w:bCs w:val="0"/>
          <w:color w:val="000000"/>
          <w:kern w:val="0"/>
          <w:sz w:val="32"/>
          <w:szCs w:val="32"/>
          <w:lang w:val="en-US" w:eastAsia="zh-CN" w:bidi="ar-SA"/>
        </w:rPr>
        <w:t>综合利用情况。</w:t>
      </w:r>
      <w:r>
        <w:rPr>
          <w:rFonts w:hint="eastAsia" w:ascii="仿宋_GB2312" w:hAnsi="仿宋_GB2312" w:eastAsia="仿宋_GB2312" w:cs="仿宋_GB2312"/>
          <w:lang w:val="en-US" w:eastAsia="zh-CN"/>
        </w:rPr>
        <w:t>绥阳县秸秆资源量丰富，年产生秸秆量40万吨以上，2024年秸秆产生量26.01万吨，可收集量22.57万吨，综合利用量20.34万吨，综合利用率90.11%。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仿宋_GB2312" w:hAnsi="仿宋_GB2312" w:eastAsia="仿宋_GB2312" w:cs="仿宋_GB2312"/>
          <w:lang w:val="en-US" w:eastAsia="zh-CN"/>
        </w:rPr>
      </w:pPr>
      <w:r>
        <w:rPr>
          <w:rFonts w:hint="eastAsia" w:ascii="楷体_GB2312" w:hAnsi="楷体_GB2312" w:eastAsia="楷体_GB2312" w:cs="楷体_GB2312"/>
          <w:b w:val="0"/>
          <w:bCs w:val="0"/>
          <w:color w:val="000000"/>
          <w:kern w:val="0"/>
          <w:sz w:val="32"/>
          <w:szCs w:val="32"/>
          <w:lang w:val="en-US" w:eastAsia="zh-CN" w:bidi="ar-SA"/>
        </w:rPr>
        <w:t>（四）秸秆综合利用模式。</w:t>
      </w:r>
      <w:r>
        <w:rPr>
          <w:rFonts w:hint="eastAsia" w:ascii="仿宋_GB2312" w:hAnsi="仿宋_GB2312" w:eastAsia="仿宋_GB2312" w:cs="仿宋_GB2312"/>
          <w:lang w:val="en-US" w:eastAsia="zh-CN"/>
        </w:rPr>
        <w:t>2024年完成27个秸饲料化利用示范基地，其中水稻饲料化利用示范基地建设12个，玉米饲料化建设基地15个，累计培育秸秆市场化利用主体2家，饲料化利用100吨以上的养牛主体71家，其中饲料化利用达200吨以上主体31家，完成水稻、玉米秸秆饲料化利用5.78万吨（其中水稻饲料化利用1.77万吨、玉米饲料化利用4.01万吨）。形成一批可复制，可推广的秸秆综合利用典型模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三、建设内容及任务</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（一）项目建设目标。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继续研究探索秸秆综合利用模式，建设秸秆收储体系，开展秸秆饲料化和肥料化等综合利用关键技术研发，完成秸秆颗粒饲料配方2个，制备秸秆腐熟菌剂2种，完成1套秸秆综合利用先进技术与典型案例征集推介；加强秸秆回收体系建设，新建村级秸秆加工回收网点30个；培育秸秆市场化利用主体2家；完成秸秆综合利用模式示范基地1个，示范面积300亩；宣传培训200人次，其中省级以上媒体宣传1次。集成配套1-2个关键技术，项目实施区域秸秆综合利用率≥90%。减少秸秆随意丢弃、有效遏制秸秆焚烧现象，农村环境得到有效改善。</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napToGrid/>
          <w:sz w:val="32"/>
          <w:szCs w:val="32"/>
          <w:lang w:val="en-US" w:eastAsia="zh-CN"/>
        </w:rPr>
      </w:pPr>
      <w:r>
        <w:rPr>
          <w:rFonts w:hint="eastAsia" w:ascii="仿宋_GB2312" w:hAnsi="仿宋_GB2312" w:eastAsia="仿宋_GB2312" w:cs="仿宋_GB2312"/>
          <w:b w:val="0"/>
          <w:bCs w:val="0"/>
          <w:snapToGrid/>
          <w:sz w:val="32"/>
          <w:szCs w:val="32"/>
          <w:lang w:val="en-US" w:eastAsia="zh-CN"/>
        </w:rPr>
        <w:t>2.项目指标任务。</w:t>
      </w:r>
      <w:r>
        <w:rPr>
          <w:rFonts w:hint="eastAsia" w:ascii="仿宋_GB2312" w:hAnsi="仿宋_GB2312" w:eastAsia="仿宋_GB2312" w:cs="仿宋_GB2312"/>
          <w:lang w:val="en-US" w:eastAsia="zh-CN"/>
        </w:rPr>
        <w:t>重点县秸秆综合利用率≥90%或比2024年提高5个百分点。</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val="0"/>
          <w:bCs w:val="0"/>
          <w:snapToGrid/>
          <w:sz w:val="32"/>
          <w:szCs w:val="32"/>
          <w:lang w:val="en-US" w:eastAsia="zh-CN"/>
        </w:rPr>
        <w:t>3.秸秆综合利用模式任务。</w:t>
      </w:r>
      <w:r>
        <w:rPr>
          <w:rFonts w:hint="eastAsia" w:ascii="仿宋_GB2312" w:hAnsi="仿宋_GB2312" w:eastAsia="仿宋_GB2312" w:cs="仿宋_GB2312"/>
          <w:lang w:val="en-US" w:eastAsia="zh-CN"/>
        </w:rPr>
        <w:t>形成秸秆利用模式1个以上。</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（二）项目建设内容及任务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秸秆收储体系建设。在全县15个乡（镇、街道）新建设秸秆回收网点30个，各网点配置铡揉草一体机1台、5米输送机1套，蓝牙电子称1台（自筹）；所有网点共配置单缸秸秆打包机5套，共计95套相关配套设施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秸秆饲料化利用配套设施建设①。卧式混合搅拌机1台、秸秆饲料颗粒机2台、逆流式冷却机1台、螺旋提升机1台、6米皮带输送机1台、8米皮带输送机1台、一拖二分料仓1台、8米裙边式输送机1台、10米裙边式输送机1台、自动包装秤1台、秸秆快速发酵机3台、电控柜1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秸秆饲料化利用配套设施建设②。铡草机1台、8米输送带1台、打包机1台、分料器1台、10米装车输送带1台、立式全混合日粮饲料搅拌机1台、装载机1台、铡草机（柴油版）1台、多功能粉碎机1台、出料螺旋提升机1台、饲料粉碎机1台、卧式混合机1台、螺旋输送机2台、一拖一给料仓1台、饲料颗粒机1台、8米裙边式输送机1台、逆流式冷却机1台、10米裙边式输送机1台、定量包装机1台、电控柜1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秸秆肥料化利用生产线建设。转股造粒机及配套设备1台、场地式发酵机1台、回转式烘干机及配套设备1台、引风机及配套设备1台、旋风除尘器及配套设备1台、动态配料机1台、回转式冷却机及配套设备1台、包膜机及配套设备1台、颗粒滚筒筛分机及配套设备1台、颗粒包装秤及配套设备1台、有机肥破碎机1台、有机肥自动喂料机1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5.秸秆收储数控中心（管理平台）建设。在全县30个秸秆回收网点共配置高清摄像头60个，台式计算机15台（自筹），新建设15平米LED数控显示屏1个，配备工作站1个（包括设备）。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6.秸秆饲料化和肥料化等综合利用关键技术研发。完成秸秆颗粒饲料配方2个，制备秸秆腐熟菌剂2种，完成1套秸秆综合利用先进技术与典型案例征集推介（研发过程中的劳务费、分析测试费、试剂耗材费等）。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7.秸秆收割配套设备建设。水稻收割打捆一体机1台。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8.建设秸秆综合利用示范基地1个，示范面积300亩。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9.宣传培训，宣传培训200人次，其中省级以上媒体宣传1次，提高农民回收利用秸秆的自觉性和主动性，形成秸秆综合利用的良好氛围。</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（三）设备选型参数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由于目前国内农机市场规模较大，产品质量性能均参差不齐。为保证本项目后续能切实落地，使用产品能最大程度符合相关要求。设备参数配置如下：</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eastAsia="楷体_GB2312" w:cs="Times New Roman"/>
          <w:b/>
          <w:bCs/>
          <w:sz w:val="30"/>
          <w:szCs w:val="30"/>
        </w:rPr>
      </w:pPr>
      <w:r>
        <w:rPr>
          <w:rFonts w:hint="default" w:ascii="Times New Roman" w:hAnsi="Times New Roman" w:cs="Times New Roman"/>
          <w:b/>
          <w:bCs/>
          <w:sz w:val="30"/>
          <w:szCs w:val="30"/>
          <w:lang w:val="en-US" w:eastAsia="zh-CN"/>
        </w:rPr>
        <w:t>表</w:t>
      </w:r>
      <w:r>
        <w:rPr>
          <w:rFonts w:hint="eastAsia" w:ascii="Times New Roman" w:hAnsi="Times New Roman" w:cs="Times New Roman"/>
          <w:b/>
          <w:bCs/>
          <w:sz w:val="30"/>
          <w:szCs w:val="30"/>
          <w:lang w:val="en-US" w:eastAsia="zh-CN"/>
        </w:rPr>
        <w:t>1</w:t>
      </w:r>
      <w:r>
        <w:rPr>
          <w:rFonts w:hint="default" w:ascii="Times New Roman" w:hAnsi="Times New Roman" w:cs="Times New Roman"/>
          <w:b/>
          <w:bCs/>
          <w:sz w:val="30"/>
          <w:szCs w:val="30"/>
          <w:lang w:val="en-US" w:eastAsia="zh-CN"/>
        </w:rPr>
        <w:t xml:space="preserve"> </w:t>
      </w:r>
      <w:bookmarkStart w:id="7" w:name="_Toc174526071"/>
      <w:r>
        <w:rPr>
          <w:rFonts w:hint="default" w:ascii="Times New Roman" w:hAnsi="Times New Roman" w:cs="Times New Roman"/>
          <w:b/>
          <w:bCs/>
          <w:sz w:val="30"/>
          <w:szCs w:val="30"/>
          <w:lang w:val="en-US" w:eastAsia="zh-CN"/>
        </w:rPr>
        <w:t>建设项目配套</w:t>
      </w:r>
      <w:r>
        <w:rPr>
          <w:rFonts w:hint="default" w:ascii="Times New Roman" w:hAnsi="Times New Roman" w:eastAsia="楷体_GB2312" w:cs="Times New Roman"/>
          <w:b/>
          <w:bCs/>
          <w:sz w:val="30"/>
          <w:szCs w:val="30"/>
        </w:rPr>
        <w:t>设备选型参数</w:t>
      </w:r>
      <w:bookmarkEnd w:id="7"/>
    </w:p>
    <w:tbl>
      <w:tblPr>
        <w:tblStyle w:val="10"/>
        <w:tblW w:w="53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39"/>
        <w:gridCol w:w="923"/>
        <w:gridCol w:w="1381"/>
        <w:gridCol w:w="2964"/>
        <w:gridCol w:w="3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5000" w:type="pct"/>
            <w:gridSpan w:val="5"/>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eastAsia" w:cs="Times New Roman"/>
                <w:b/>
                <w:bCs/>
                <w:color w:val="auto"/>
                <w:kern w:val="2"/>
                <w:sz w:val="24"/>
                <w:szCs w:val="24"/>
                <w:highlight w:val="none"/>
                <w:lang w:val="en-US" w:eastAsia="zh-CN" w:bidi="ar-SA"/>
              </w:rPr>
              <w:t>项目</w:t>
            </w:r>
            <w:r>
              <w:rPr>
                <w:rFonts w:hint="default" w:ascii="Times New Roman" w:hAnsi="Times New Roman" w:eastAsia="仿宋_GB2312" w:cs="Times New Roman"/>
                <w:b/>
                <w:bCs/>
                <w:color w:val="auto"/>
                <w:kern w:val="2"/>
                <w:sz w:val="24"/>
                <w:szCs w:val="24"/>
                <w:highlight w:val="none"/>
                <w:lang w:val="en-US" w:eastAsia="zh-CN" w:bidi="ar-SA"/>
              </w:rPr>
              <w:t>配套设备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序号</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名称</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型号</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配置参数</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5000" w:type="pct"/>
            <w:gridSpan w:val="5"/>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b/>
                <w:bCs/>
                <w:color w:val="auto"/>
                <w:sz w:val="24"/>
                <w:szCs w:val="24"/>
                <w:lang w:val="en-US" w:eastAsia="zh-CN"/>
              </w:rPr>
              <w:t>（1）秸秆收储体系建设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输送带</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5米</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电机：</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kw</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1169035" cy="1120775"/>
                  <wp:effectExtent l="0" t="0" r="2540" b="3175"/>
                  <wp:docPr id="7" name="图片 12" descr="输送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输送带1"/>
                          <pic:cNvPicPr>
                            <a:picLocks noChangeAspect="1"/>
                          </pic:cNvPicPr>
                        </pic:nvPicPr>
                        <pic:blipFill>
                          <a:blip r:embed="rId8"/>
                          <a:stretch>
                            <a:fillRect/>
                          </a:stretch>
                        </pic:blipFill>
                        <pic:spPr>
                          <a:xfrm>
                            <a:off x="0" y="0"/>
                            <a:ext cx="1169035" cy="1120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铡</w:t>
            </w:r>
            <w:r>
              <w:rPr>
                <w:rFonts w:hint="default" w:ascii="Times New Roman" w:hAnsi="Times New Roman" w:cs="Times New Roman"/>
                <w:color w:val="auto"/>
                <w:sz w:val="21"/>
                <w:szCs w:val="21"/>
                <w:lang w:val="en-US" w:eastAsia="zh-CN"/>
              </w:rPr>
              <w:t>揉</w:t>
            </w:r>
            <w:r>
              <w:rPr>
                <w:rFonts w:hint="default" w:ascii="Times New Roman" w:hAnsi="Times New Roman" w:eastAsia="仿宋_GB2312" w:cs="Times New Roman"/>
                <w:color w:val="auto"/>
                <w:sz w:val="21"/>
                <w:szCs w:val="21"/>
              </w:rPr>
              <w:t>草</w:t>
            </w:r>
            <w:r>
              <w:rPr>
                <w:rFonts w:hint="default" w:ascii="Times New Roman" w:hAnsi="Times New Roman" w:cs="Times New Roman"/>
                <w:color w:val="auto"/>
                <w:sz w:val="21"/>
                <w:szCs w:val="21"/>
                <w:lang w:val="en-US" w:eastAsia="zh-CN"/>
              </w:rPr>
              <w:t>一体</w:t>
            </w:r>
            <w:r>
              <w:rPr>
                <w:rFonts w:hint="default" w:ascii="Times New Roman" w:hAnsi="Times New Roman" w:eastAsia="仿宋_GB2312" w:cs="Times New Roman"/>
                <w:color w:val="auto"/>
                <w:sz w:val="21"/>
                <w:szCs w:val="21"/>
              </w:rPr>
              <w:t>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15</w:t>
            </w:r>
            <w:r>
              <w:rPr>
                <w:rFonts w:hint="default" w:ascii="Times New Roman" w:hAnsi="Times New Roman" w:cs="Times New Roman"/>
                <w:color w:val="auto"/>
                <w:sz w:val="21"/>
                <w:szCs w:val="21"/>
                <w:lang w:val="en-US" w:eastAsia="zh-CN"/>
              </w:rPr>
              <w:t>型</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eastAsia"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电机：22</w:t>
            </w:r>
            <w:r>
              <w:rPr>
                <w:rFonts w:hint="eastAsia" w:ascii="Times New Roman" w:hAnsi="Times New Roman" w:cs="Times New Roman"/>
                <w:color w:val="auto"/>
                <w:sz w:val="21"/>
                <w:szCs w:val="21"/>
                <w:lang w:val="en-US" w:eastAsia="zh-CN"/>
              </w:rPr>
              <w:t>kw</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籽粒破碎，超细型（2-5cm,长度可调）；</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带有防堵塞功能</w:t>
            </w:r>
            <w:r>
              <w:rPr>
                <w:rFonts w:hint="default" w:ascii="Times New Roman" w:hAnsi="Times New Roman" w:cs="Times New Roman"/>
                <w:color w:val="auto"/>
                <w:sz w:val="21"/>
                <w:szCs w:val="21"/>
                <w:lang w:val="en-US" w:eastAsia="zh-CN"/>
              </w:rPr>
              <w:t>.</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cs="Times New Roman"/>
                <w:color w:val="auto"/>
                <w:sz w:val="21"/>
                <w:szCs w:val="21"/>
                <w:lang w:val="en-US" w:eastAsia="zh-CN"/>
              </w:rPr>
              <w:t>机身3570mm*825mm*1250mm</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drawing>
                <wp:inline distT="0" distB="0" distL="114300" distR="114300">
                  <wp:extent cx="2152015" cy="1612900"/>
                  <wp:effectExtent l="0" t="0" r="635" b="6350"/>
                  <wp:docPr id="16" name="图片 16" descr="eea8fb0c4573e69441f0d9f5242e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ea8fb0c4573e69441f0d9f5242e4a9"/>
                          <pic:cNvPicPr>
                            <a:picLocks noChangeAspect="1"/>
                          </pic:cNvPicPr>
                        </pic:nvPicPr>
                        <pic:blipFill>
                          <a:blip r:embed="rId9"/>
                          <a:stretch>
                            <a:fillRect/>
                          </a:stretch>
                        </pic:blipFill>
                        <pic:spPr>
                          <a:xfrm>
                            <a:off x="0" y="0"/>
                            <a:ext cx="2152015" cy="16129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cs="Times New Roman"/>
                <w:color w:val="auto"/>
                <w:sz w:val="21"/>
                <w:szCs w:val="21"/>
                <w:lang w:val="en-US" w:eastAsia="zh-CN"/>
              </w:rPr>
              <w:t>单缸秸秆打包机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cs="Times New Roman"/>
                <w:color w:val="auto"/>
                <w:sz w:val="21"/>
                <w:szCs w:val="21"/>
                <w:lang w:val="en-US" w:eastAsia="zh-CN"/>
              </w:rPr>
              <w:t>70型</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压捆能力：100包/h；油箱容积200升。</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drawing>
                <wp:inline distT="0" distB="0" distL="114300" distR="114300">
                  <wp:extent cx="2152650" cy="1210945"/>
                  <wp:effectExtent l="0" t="0" r="0" b="8255"/>
                  <wp:docPr id="18" name="图片 18" descr="8800730560cc2b8262b760c584c1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800730560cc2b8262b760c584c1f44"/>
                          <pic:cNvPicPr>
                            <a:picLocks noChangeAspect="1"/>
                          </pic:cNvPicPr>
                        </pic:nvPicPr>
                        <pic:blipFill>
                          <a:blip r:embed="rId10"/>
                          <a:stretch>
                            <a:fillRect/>
                          </a:stretch>
                        </pic:blipFill>
                        <pic:spPr>
                          <a:xfrm>
                            <a:off x="0" y="0"/>
                            <a:ext cx="2152650" cy="12109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蓝牙电子秤</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cs="Times New Roman"/>
                <w:color w:val="auto"/>
                <w:sz w:val="21"/>
                <w:szCs w:val="21"/>
                <w:lang w:val="en-US" w:eastAsia="zh-CN"/>
              </w:rPr>
            </w:pP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（1）执行标准：GB11883-89电子吊秤标准，用n表示分度数，e表示分度值，允差用e表示。</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准确度等级：国内标准</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1000&lt;n≤10000 允差为1.0e～2.0e</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drawing>
                <wp:inline distT="0" distB="0" distL="114300" distR="114300">
                  <wp:extent cx="997585" cy="1329690"/>
                  <wp:effectExtent l="0" t="0" r="2540" b="3810"/>
                  <wp:docPr id="23" name="图片 23" descr="623f3c2234ddb40b5e3db7a6f6cd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3f3c2234ddb40b5e3db7a6f6cd37f"/>
                          <pic:cNvPicPr>
                            <a:picLocks noChangeAspect="1"/>
                          </pic:cNvPicPr>
                        </pic:nvPicPr>
                        <pic:blipFill>
                          <a:blip r:embed="rId11"/>
                          <a:stretch>
                            <a:fillRect/>
                          </a:stretch>
                        </pic:blipFill>
                        <pic:spPr>
                          <a:xfrm>
                            <a:off x="0" y="0"/>
                            <a:ext cx="997585" cy="1329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5000" w:type="pct"/>
            <w:gridSpan w:val="5"/>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b/>
                <w:bCs/>
                <w:color w:val="auto"/>
                <w:sz w:val="24"/>
                <w:szCs w:val="24"/>
                <w:lang w:eastAsia="zh-CN"/>
              </w:rPr>
            </w:pPr>
          </w:p>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b/>
                <w:bCs/>
                <w:color w:val="auto"/>
                <w:sz w:val="24"/>
                <w:szCs w:val="24"/>
                <w:lang w:eastAsia="zh-CN"/>
              </w:rPr>
            </w:pPr>
          </w:p>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b/>
                <w:bCs/>
                <w:color w:val="auto"/>
                <w:sz w:val="24"/>
                <w:szCs w:val="24"/>
                <w:lang w:eastAsia="zh-CN"/>
              </w:rPr>
            </w:pPr>
          </w:p>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b/>
                <w:bCs/>
                <w:color w:val="auto"/>
                <w:sz w:val="24"/>
                <w:szCs w:val="24"/>
                <w:lang w:eastAsia="zh-CN"/>
              </w:rPr>
              <w:t>（</w:t>
            </w:r>
            <w:r>
              <w:rPr>
                <w:rFonts w:hint="default" w:ascii="Times New Roman" w:hAnsi="Times New Roman" w:eastAsia="仿宋_GB2312" w:cs="Times New Roman"/>
                <w:b/>
                <w:bCs/>
                <w:color w:val="auto"/>
                <w:sz w:val="24"/>
                <w:szCs w:val="24"/>
                <w:lang w:val="en-US" w:eastAsia="zh-CN"/>
              </w:rPr>
              <w:t>2</w:t>
            </w:r>
            <w:r>
              <w:rPr>
                <w:rFonts w:hint="default" w:ascii="Times New Roman" w:hAnsi="Times New Roman" w:eastAsia="仿宋_GB2312" w:cs="Times New Roman"/>
                <w:b/>
                <w:bCs/>
                <w:color w:val="auto"/>
                <w:sz w:val="24"/>
                <w:szCs w:val="24"/>
                <w:lang w:eastAsia="zh-CN"/>
              </w:rPr>
              <w:t>）</w:t>
            </w:r>
            <w:r>
              <w:rPr>
                <w:rFonts w:hint="default" w:ascii="Times New Roman" w:hAnsi="Times New Roman" w:eastAsia="仿宋_GB2312" w:cs="Times New Roman"/>
                <w:b/>
                <w:bCs/>
                <w:color w:val="auto"/>
                <w:sz w:val="24"/>
                <w:szCs w:val="24"/>
                <w:lang w:val="en-US" w:eastAsia="zh-CN"/>
              </w:rPr>
              <w:t>秸秆饲料化建设</w:t>
            </w:r>
            <w:r>
              <w:rPr>
                <w:rFonts w:hint="eastAsia" w:cs="Times New Roman"/>
                <w:b/>
                <w:bCs/>
                <w:color w:val="auto"/>
                <w:sz w:val="24"/>
                <w:szCs w:val="24"/>
                <w:lang w:val="en-US" w:eastAsia="zh-CN"/>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1</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卧式混合搅拌机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9HW-2000</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结构形式：卧式单轴双螺带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配套电机：15kw</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减速机：JZQ400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工作效率：1000kg/每批次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搅拌速度：3-5分钟/每批次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容量：2.2立方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整机重量：750kg</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 w:val="0"/>
                <w:iCs w:val="0"/>
                <w:color w:val="auto"/>
                <w:kern w:val="0"/>
                <w:sz w:val="21"/>
                <w:szCs w:val="21"/>
                <w:u w:val="none"/>
                <w:lang w:val="en-US" w:eastAsia="zh-CN" w:bidi="ar"/>
              </w:rPr>
              <w:t>外形尺寸3200x1100x2200mm</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eastAsia="zh-CN"/>
              </w:rPr>
              <w:drawing>
                <wp:inline distT="0" distB="0" distL="114300" distR="114300">
                  <wp:extent cx="2188845" cy="2025650"/>
                  <wp:effectExtent l="0" t="0" r="1905" b="3175"/>
                  <wp:docPr id="63" name="图片 63" descr="173398428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733984283800"/>
                          <pic:cNvPicPr>
                            <a:picLocks noChangeAspect="1"/>
                          </pic:cNvPicPr>
                        </pic:nvPicPr>
                        <pic:blipFill>
                          <a:blip r:embed="rId12"/>
                          <a:stretch>
                            <a:fillRect/>
                          </a:stretch>
                        </pic:blipFill>
                        <pic:spPr>
                          <a:xfrm>
                            <a:off x="0" y="0"/>
                            <a:ext cx="2188845" cy="20256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2</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秸秆饲料颗粒机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400</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结构形式：平模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配套电机：37-6</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生产效率：10吨/每小时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颗粒直径：6-8mm</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磨盘数量：1个6-8mm</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 w:val="0"/>
                <w:iCs w:val="0"/>
                <w:color w:val="auto"/>
                <w:kern w:val="0"/>
                <w:sz w:val="21"/>
                <w:szCs w:val="21"/>
                <w:u w:val="none"/>
                <w:lang w:val="en-US" w:eastAsia="zh-CN" w:bidi="ar"/>
              </w:rPr>
              <w:t>压辊数量：2个</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rPr>
              <w:drawing>
                <wp:inline distT="0" distB="0" distL="114300" distR="114300">
                  <wp:extent cx="1739900" cy="1166495"/>
                  <wp:effectExtent l="0" t="0" r="3175" b="5080"/>
                  <wp:docPr id="1350" name="图片 11" descr="35b1385d92fcc8eaa1f322303e61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1" descr="35b1385d92fcc8eaa1f322303e6103f"/>
                          <pic:cNvPicPr>
                            <a:picLocks noChangeAspect="1"/>
                          </pic:cNvPicPr>
                        </pic:nvPicPr>
                        <pic:blipFill>
                          <a:blip r:embed="rId13"/>
                          <a:stretch>
                            <a:fillRect/>
                          </a:stretch>
                        </pic:blipFill>
                        <pic:spPr>
                          <a:xfrm>
                            <a:off x="0" y="0"/>
                            <a:ext cx="1739900" cy="11664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3</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逆流式冷却机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LQ-5000</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 w:val="0"/>
                <w:bCs w:val="0"/>
                <w:color w:val="auto"/>
                <w:sz w:val="21"/>
                <w:szCs w:val="21"/>
                <w:lang w:val="en-US" w:eastAsia="zh-CN"/>
              </w:rPr>
              <w:t>用于制粒后的物料冷却，逆流式冷却机,出料功率:3KW，风机功率:30KW，带物料限位装置,自动下料.</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655445" cy="1449070"/>
                  <wp:effectExtent l="0" t="0" r="1905" b="8255"/>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14"/>
                          <a:stretch>
                            <a:fillRect/>
                          </a:stretch>
                        </pic:blipFill>
                        <pic:spPr>
                          <a:xfrm>
                            <a:off x="0" y="0"/>
                            <a:ext cx="1655445" cy="14490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4</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螺旋提升机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LX-4</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配套电机：4kw</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管径：219mm</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 w:val="0"/>
                <w:iCs w:val="0"/>
                <w:color w:val="auto"/>
                <w:kern w:val="0"/>
                <w:sz w:val="21"/>
                <w:szCs w:val="21"/>
                <w:u w:val="none"/>
                <w:lang w:val="en-US" w:eastAsia="zh-CN" w:bidi="ar"/>
              </w:rPr>
              <w:t>长度：4m</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eastAsia="zh-CN"/>
              </w:rPr>
              <w:drawing>
                <wp:inline distT="0" distB="0" distL="114300" distR="114300">
                  <wp:extent cx="1604010" cy="1362075"/>
                  <wp:effectExtent l="0" t="0" r="5715" b="0"/>
                  <wp:docPr id="66" name="图片 66" descr="173336676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733366765465"/>
                          <pic:cNvPicPr>
                            <a:picLocks noChangeAspect="1"/>
                          </pic:cNvPicPr>
                        </pic:nvPicPr>
                        <pic:blipFill>
                          <a:blip r:embed="rId15"/>
                          <a:stretch>
                            <a:fillRect/>
                          </a:stretch>
                        </pic:blipFill>
                        <pic:spPr>
                          <a:xfrm>
                            <a:off x="0" y="0"/>
                            <a:ext cx="1604010" cy="1362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5</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6米皮带输送机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用于草料物料输送搅拌机,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 w:val="0"/>
                <w:iCs w:val="0"/>
                <w:color w:val="auto"/>
                <w:kern w:val="0"/>
                <w:sz w:val="21"/>
                <w:szCs w:val="21"/>
                <w:u w:val="none"/>
                <w:lang w:val="en-US" w:eastAsia="zh-CN" w:bidi="ar"/>
              </w:rPr>
              <w:t>长度:6000mm,宽度:500mm,功率:4KW</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lang w:val="en-US" w:eastAsia="zh-CN" w:bidi="ar-SA"/>
              </w:rPr>
              <w:drawing>
                <wp:inline distT="0" distB="0" distL="114300" distR="114300">
                  <wp:extent cx="894715" cy="1277620"/>
                  <wp:effectExtent l="0" t="0" r="635" b="8255"/>
                  <wp:docPr id="67" name="图片 67" descr="ff5c0cbd8821318f01007ffa7d1ed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ff5c0cbd8821318f01007ffa7d1ed58(1)"/>
                          <pic:cNvPicPr>
                            <a:picLocks noChangeAspect="1"/>
                          </pic:cNvPicPr>
                        </pic:nvPicPr>
                        <pic:blipFill>
                          <a:blip r:embed="rId16"/>
                          <a:stretch>
                            <a:fillRect/>
                          </a:stretch>
                        </pic:blipFill>
                        <pic:spPr>
                          <a:xfrm>
                            <a:off x="0" y="0"/>
                            <a:ext cx="894715" cy="1277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6</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8米皮带输送机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用于草料物料输送分料仓</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 w:val="0"/>
                <w:iCs w:val="0"/>
                <w:color w:val="auto"/>
                <w:kern w:val="0"/>
                <w:sz w:val="21"/>
                <w:szCs w:val="21"/>
                <w:u w:val="none"/>
                <w:lang w:val="en-US" w:eastAsia="zh-CN" w:bidi="ar"/>
              </w:rPr>
              <w:t>长度:8000mm,宽度:500mm,功率:4KW</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lang w:val="en-US" w:eastAsia="zh-CN" w:bidi="ar-SA"/>
              </w:rPr>
              <w:drawing>
                <wp:inline distT="0" distB="0" distL="114300" distR="114300">
                  <wp:extent cx="894715" cy="1277620"/>
                  <wp:effectExtent l="0" t="0" r="635" b="8255"/>
                  <wp:docPr id="68" name="图片 68" descr="ff5c0cbd8821318f01007ffa7d1ed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f5c0cbd8821318f01007ffa7d1ed58(1)"/>
                          <pic:cNvPicPr>
                            <a:picLocks noChangeAspect="1"/>
                          </pic:cNvPicPr>
                        </pic:nvPicPr>
                        <pic:blipFill>
                          <a:blip r:embed="rId16"/>
                          <a:stretch>
                            <a:fillRect/>
                          </a:stretch>
                        </pic:blipFill>
                        <pic:spPr>
                          <a:xfrm>
                            <a:off x="0" y="0"/>
                            <a:ext cx="894715" cy="1277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7</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一拖二分料仓</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XY026</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 w:val="0"/>
                <w:iCs w:val="0"/>
                <w:color w:val="auto"/>
                <w:kern w:val="0"/>
                <w:sz w:val="21"/>
                <w:szCs w:val="21"/>
                <w:u w:val="none"/>
                <w:lang w:val="en-US" w:eastAsia="zh-CN" w:bidi="ar"/>
              </w:rPr>
              <w:t>用于草粉待制粒储存，功率双3千瓦变频</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878330" cy="1437640"/>
                  <wp:effectExtent l="0" t="0" r="7620" b="63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7"/>
                          <a:stretch>
                            <a:fillRect/>
                          </a:stretch>
                        </pic:blipFill>
                        <pic:spPr>
                          <a:xfrm>
                            <a:off x="0" y="0"/>
                            <a:ext cx="1878330" cy="14376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8</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8米裙边式输送机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QB-8</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用于制粒完成后的物料输送,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 w:val="0"/>
                <w:iCs w:val="0"/>
                <w:color w:val="auto"/>
                <w:kern w:val="0"/>
                <w:sz w:val="21"/>
                <w:szCs w:val="21"/>
                <w:u w:val="none"/>
                <w:lang w:val="en-US" w:eastAsia="zh-CN" w:bidi="ar"/>
              </w:rPr>
              <w:t>长度:8000mm,宽度:600mm,功率:3KW  裙边形输送带</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eastAsia="zh-CN"/>
              </w:rPr>
              <w:drawing>
                <wp:inline distT="0" distB="0" distL="114300" distR="114300">
                  <wp:extent cx="1458595" cy="1393190"/>
                  <wp:effectExtent l="0" t="0" r="8255" b="6985"/>
                  <wp:docPr id="70" name="图片 70" descr="177f9f18b1ad4b2e44d615837f76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77f9f18b1ad4b2e44d615837f76b38"/>
                          <pic:cNvPicPr>
                            <a:picLocks noChangeAspect="1"/>
                          </pic:cNvPicPr>
                        </pic:nvPicPr>
                        <pic:blipFill>
                          <a:blip r:embed="rId18"/>
                          <a:stretch>
                            <a:fillRect/>
                          </a:stretch>
                        </pic:blipFill>
                        <pic:spPr>
                          <a:xfrm>
                            <a:off x="0" y="0"/>
                            <a:ext cx="1458595" cy="1393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9</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10米裙边式输送机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QB-10</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用于制粒完成后的物料输送,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 w:val="0"/>
                <w:iCs w:val="0"/>
                <w:color w:val="auto"/>
                <w:kern w:val="0"/>
                <w:sz w:val="21"/>
                <w:szCs w:val="21"/>
                <w:u w:val="none"/>
                <w:lang w:val="en-US" w:eastAsia="zh-CN" w:bidi="ar"/>
              </w:rPr>
              <w:t>长度:10000mm,宽度:600mm,功率:3</w:t>
            </w:r>
            <w:r>
              <w:rPr>
                <w:rFonts w:hint="eastAsia" w:ascii="Times New Roman" w:hAnsi="Times New Roman" w:cs="Times New Roman"/>
                <w:i w:val="0"/>
                <w:iCs w:val="0"/>
                <w:color w:val="auto"/>
                <w:kern w:val="0"/>
                <w:sz w:val="21"/>
                <w:szCs w:val="21"/>
                <w:u w:val="none"/>
                <w:lang w:val="en-US" w:eastAsia="zh-CN" w:bidi="ar"/>
              </w:rPr>
              <w:t>kw</w:t>
            </w:r>
            <w:r>
              <w:rPr>
                <w:rFonts w:hint="default" w:ascii="Times New Roman" w:hAnsi="Times New Roman" w:eastAsia="仿宋_GB2312" w:cs="Times New Roman"/>
                <w:i w:val="0"/>
                <w:iCs w:val="0"/>
                <w:color w:val="auto"/>
                <w:kern w:val="0"/>
                <w:sz w:val="21"/>
                <w:szCs w:val="21"/>
                <w:u w:val="none"/>
                <w:lang w:val="en-US" w:eastAsia="zh-CN" w:bidi="ar"/>
              </w:rPr>
              <w:t xml:space="preserve">  裙边形输送带</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eastAsia="zh-CN"/>
              </w:rPr>
              <w:drawing>
                <wp:inline distT="0" distB="0" distL="114300" distR="114300">
                  <wp:extent cx="1398270" cy="1464945"/>
                  <wp:effectExtent l="0" t="0" r="1905" b="1905"/>
                  <wp:docPr id="71" name="图片 71" descr="177f9f18b1ad4b2e44d615837f76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7f9f18b1ad4b2e44d615837f76b38"/>
                          <pic:cNvPicPr>
                            <a:picLocks noChangeAspect="1"/>
                          </pic:cNvPicPr>
                        </pic:nvPicPr>
                        <pic:blipFill>
                          <a:blip r:embed="rId18"/>
                          <a:stretch>
                            <a:fillRect/>
                          </a:stretch>
                        </pic:blipFill>
                        <pic:spPr>
                          <a:xfrm>
                            <a:off x="0" y="0"/>
                            <a:ext cx="1398270" cy="14649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10</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vertAlign w:val="baseline"/>
                <w:lang w:val="en-US" w:eastAsia="zh-CN" w:bidi="ar-SA"/>
              </w:rPr>
              <w:t>电控柜</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HY-100</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控制电柜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总功率：150kw</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外壳材质：喷塑</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电器元件：德力西+人民</w:t>
            </w:r>
          </w:p>
          <w:p>
            <w:pPr>
              <w:pStyle w:val="8"/>
              <w:keepNext w:val="0"/>
              <w:keepLines w:val="0"/>
              <w:pageBreakBefore w:val="0"/>
              <w:widowControl w:val="0"/>
              <w:kinsoku/>
              <w:wordWrap/>
              <w:overflowPunct/>
              <w:topLinePunct w:val="0"/>
              <w:autoSpaceDE/>
              <w:autoSpaceDN/>
              <w:bidi w:val="0"/>
              <w:adjustRightInd/>
              <w:snapToGrid/>
              <w:spacing w:line="240" w:lineRule="auto"/>
              <w:ind w:left="420" w:leftChars="0" w:firstLine="0" w:firstLineChars="0"/>
              <w:jc w:val="left"/>
              <w:textAlignment w:val="auto"/>
              <w:rPr>
                <w:rFonts w:hint="default" w:ascii="Times New Roman" w:hAnsi="Times New Roman" w:eastAsia="仿宋_GB2312" w:cs="Times New Roman"/>
                <w:color w:val="auto"/>
                <w:sz w:val="21"/>
                <w:szCs w:val="21"/>
              </w:rPr>
            </w:pP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eastAsia="zh-CN"/>
              </w:rPr>
              <w:drawing>
                <wp:inline distT="0" distB="0" distL="114300" distR="114300">
                  <wp:extent cx="1238885" cy="1301750"/>
                  <wp:effectExtent l="0" t="0" r="8890" b="3175"/>
                  <wp:docPr id="72" name="图片 72" descr="f0e2c04935e9251d55eafd33e63e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0e2c04935e9251d55eafd33e63ee34"/>
                          <pic:cNvPicPr>
                            <a:picLocks noChangeAspect="1"/>
                          </pic:cNvPicPr>
                        </pic:nvPicPr>
                        <pic:blipFill>
                          <a:blip r:embed="rId19"/>
                          <a:stretch>
                            <a:fillRect/>
                          </a:stretch>
                        </pic:blipFill>
                        <pic:spPr>
                          <a:xfrm>
                            <a:off x="0" y="0"/>
                            <a:ext cx="1238885" cy="1301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vertAlign w:val="baseline"/>
                <w:lang w:val="en-US" w:eastAsia="zh-CN"/>
              </w:rPr>
            </w:pPr>
            <w:r>
              <w:rPr>
                <w:rFonts w:hint="eastAsia" w:cs="Times New Roman"/>
                <w:color w:val="auto"/>
                <w:sz w:val="21"/>
                <w:szCs w:val="21"/>
                <w:vertAlign w:val="baseline"/>
                <w:lang w:val="en-US" w:eastAsia="zh-CN"/>
              </w:rPr>
              <w:t>11</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4"/>
                <w:vertAlign w:val="baseline"/>
                <w:lang w:val="en-US" w:eastAsia="zh-CN" w:bidi="ar-SA"/>
              </w:rPr>
              <w:t>自动包装秤</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DCS80型</w:t>
            </w:r>
          </w:p>
        </w:tc>
        <w:tc>
          <w:tcPr>
            <w:tcW w:w="1530" w:type="pct"/>
            <w:noWrap w:val="0"/>
            <w:tcMar>
              <w:top w:w="0" w:type="dxa"/>
              <w:left w:w="108" w:type="dxa"/>
              <w:bottom w:w="0" w:type="dxa"/>
              <w:right w:w="10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结构材质：Q235碳钢；与物料接触为不锈钢；</w:t>
            </w:r>
          </w:p>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输送机材质：PVC；</w:t>
            </w:r>
          </w:p>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控制方法：PLC控制</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eastAsia="zh-CN"/>
              </w:rPr>
            </w:pPr>
            <w:r>
              <w:rPr>
                <w:rFonts w:hint="default" w:ascii="Times New Roman" w:hAnsi="Times New Roman" w:cs="Times New Roman"/>
                <w:color w:val="auto"/>
              </w:rPr>
              <w:drawing>
                <wp:inline distT="0" distB="0" distL="114300" distR="114300">
                  <wp:extent cx="1827530" cy="1501140"/>
                  <wp:effectExtent l="0" t="0" r="1270" b="3810"/>
                  <wp:docPr id="14" name="图片 15" descr="D:/工作图片/新手机图片分类/用户现场-中广核/二十里店项目/IMG_20230609_144111.jpgIMG_20230609_14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D:/工作图片/新手机图片分类/用户现场-中广核/二十里店项目/IMG_20230609_144111.jpgIMG_20230609_144111"/>
                          <pic:cNvPicPr>
                            <a:picLocks noChangeAspect="1"/>
                          </pic:cNvPicPr>
                        </pic:nvPicPr>
                        <pic:blipFill>
                          <a:blip r:embed="rId20" cstate="print"/>
                          <a:srcRect l="26028" r="7146"/>
                          <a:stretch>
                            <a:fillRect/>
                          </a:stretch>
                        </pic:blipFill>
                        <pic:spPr>
                          <a:xfrm>
                            <a:off x="0" y="0"/>
                            <a:ext cx="1827530" cy="15011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vertAlign w:val="baseline"/>
                <w:lang w:val="en-US" w:eastAsia="zh-CN"/>
              </w:rPr>
            </w:pPr>
            <w:r>
              <w:rPr>
                <w:rFonts w:hint="eastAsia" w:cs="Times New Roman"/>
                <w:color w:val="auto"/>
                <w:sz w:val="21"/>
                <w:szCs w:val="21"/>
                <w:vertAlign w:val="baseline"/>
                <w:lang w:val="en-US" w:eastAsia="zh-CN"/>
              </w:rPr>
              <w:t>12</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4"/>
                <w:vertAlign w:val="baseline"/>
                <w:lang w:val="en-US" w:eastAsia="zh-CN" w:bidi="ar-SA"/>
              </w:rPr>
              <w:t>秸秆快速发酵机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cs="Times New Roman"/>
                <w:color w:val="auto"/>
                <w:sz w:val="21"/>
                <w:szCs w:val="21"/>
                <w:lang w:val="en-US" w:eastAsia="zh-CN"/>
              </w:rPr>
              <w:t>WZ100</w:t>
            </w:r>
          </w:p>
        </w:tc>
        <w:tc>
          <w:tcPr>
            <w:tcW w:w="1530" w:type="pct"/>
            <w:noWrap w:val="0"/>
            <w:tcMar>
              <w:top w:w="0" w:type="dxa"/>
              <w:left w:w="108" w:type="dxa"/>
              <w:bottom w:w="0" w:type="dxa"/>
              <w:right w:w="10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cs="Times New Roman"/>
                <w:color w:val="auto"/>
                <w:sz w:val="21"/>
                <w:szCs w:val="21"/>
                <w:lang w:val="en-US" w:eastAsia="zh-CN"/>
              </w:rPr>
              <w:t>通过温度控制，自助脱水，快速发酵。</w:t>
            </w: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drawing>
                <wp:inline distT="0" distB="0" distL="114300" distR="114300">
                  <wp:extent cx="2153920" cy="1616710"/>
                  <wp:effectExtent l="0" t="0" r="8255" b="2540"/>
                  <wp:docPr id="15" name="图片 15" descr="9b7bf7b3f550751b6e582c38ec6d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b7bf7b3f550751b6e582c38ec6d1c4"/>
                          <pic:cNvPicPr>
                            <a:picLocks noChangeAspect="1"/>
                          </pic:cNvPicPr>
                        </pic:nvPicPr>
                        <pic:blipFill>
                          <a:blip r:embed="rId21"/>
                          <a:stretch>
                            <a:fillRect/>
                          </a:stretch>
                        </pic:blipFill>
                        <pic:spPr>
                          <a:xfrm>
                            <a:off x="0" y="0"/>
                            <a:ext cx="2153920" cy="16167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5000" w:type="pct"/>
            <w:gridSpan w:val="5"/>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b/>
                <w:bCs/>
                <w:color w:val="auto"/>
                <w:sz w:val="24"/>
                <w:szCs w:val="24"/>
                <w:lang w:val="en-US" w:eastAsia="zh-CN"/>
              </w:rPr>
              <w:t>（3）秸秆肥料化建设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1</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转股造粒机及配套设备</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TDZGZ-2080</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val="en-US" w:eastAsia="zh-CN"/>
              </w:rPr>
              <w:t xml:space="preserve">1.桶身内部是采用的橡胶板做内衬,自动除疤。防腐蚀保温。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2.造粒机托轮架、传动齿圈滚带均为铸钢材质。</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val="en-US" w:eastAsia="zh-CN"/>
              </w:rPr>
              <w:t>3.桶身厚度：12mm，桶身内径1500mm，桶</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val="en-US" w:eastAsia="zh-CN"/>
              </w:rPr>
              <w:t>身长度：6000mm。材质Q345。采用一次成型螺旋管。</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val="en-US" w:eastAsia="zh-CN"/>
              </w:rPr>
              <w:t>4.生产能力：12-13t/h.</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 xml:space="preserve">5.转动速度：10r/min.；倾角：2.5° </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1938655" cy="1938655"/>
                  <wp:effectExtent l="0" t="0" r="4445" b="4445"/>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22"/>
                          <a:stretch>
                            <a:fillRect/>
                          </a:stretch>
                        </pic:blipFill>
                        <pic:spPr>
                          <a:xfrm>
                            <a:off x="0" y="0"/>
                            <a:ext cx="1938655" cy="1938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2</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场地式发酵机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SDFJ2800型</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1.翻抛机采用履带式行走翻抛机构。</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2.翻抛机安装液压推进系统。</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3.翻抛物料深度1米可调。</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4.翻抛机安装有液体补充及喷淋系统。</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5.履带需采用优质耐腐蚀橡胶履带，履带内需有钢片内芯。</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cs="Times New Roman"/>
                <w:color w:val="auto"/>
              </w:rPr>
              <w:drawing>
                <wp:inline distT="0" distB="0" distL="114300" distR="114300">
                  <wp:extent cx="1799590" cy="1508125"/>
                  <wp:effectExtent l="0" t="0" r="635" b="6350"/>
                  <wp:docPr id="2" name="图片 1" descr="IMG_20230220_15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0230220_155813"/>
                          <pic:cNvPicPr>
                            <a:picLocks noChangeAspect="1"/>
                          </pic:cNvPicPr>
                        </pic:nvPicPr>
                        <pic:blipFill>
                          <a:blip r:embed="rId23" cstate="print"/>
                          <a:srcRect t="8083" b="22489"/>
                          <a:stretch>
                            <a:fillRect/>
                          </a:stretch>
                        </pic:blipFill>
                        <pic:spPr>
                          <a:xfrm>
                            <a:off x="0" y="0"/>
                            <a:ext cx="1799590" cy="1508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3</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回转式烘干机及配套设备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TDHG-2222</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钢板厚度为18毫米，扬料板厚度为12毫米；</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1.前后封头板均为65毫米厚钢板制作；</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2.滚圈、齿轮、挡轮、托轮等均为重型铸钢件；</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3. 引风机叶轮和主轴均采用耐高温材质（叶轮与主轴之间采 用锥 度连接）；</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4.转速：5.5r/min；倾角：2.5°</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5.滚筒直径：1500mm</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6.长度：15000mm</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2019300" cy="2006600"/>
                  <wp:effectExtent l="0" t="0" r="0" b="3175"/>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24"/>
                          <a:stretch>
                            <a:fillRect/>
                          </a:stretch>
                        </pic:blipFill>
                        <pic:spPr>
                          <a:xfrm>
                            <a:off x="0" y="0"/>
                            <a:ext cx="2019300" cy="2006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32"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4</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引风机及配套设备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TDYF12C</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1.流量：1.2m</w:t>
            </w:r>
            <w:r>
              <w:rPr>
                <w:rFonts w:hint="default" w:ascii="Times New Roman" w:hAnsi="Times New Roman" w:eastAsia="仿宋_GB2312" w:cs="Times New Roman"/>
                <w:color w:val="auto"/>
                <w:sz w:val="21"/>
                <w:szCs w:val="21"/>
                <w:vertAlign w:val="superscript"/>
                <w:lang w:val="en-US" w:eastAsia="zh-CN"/>
              </w:rPr>
              <w:t>3</w:t>
            </w:r>
            <w:r>
              <w:rPr>
                <w:rFonts w:hint="default" w:ascii="Times New Roman" w:hAnsi="Times New Roman" w:eastAsia="仿宋_GB2312" w:cs="Times New Roman"/>
                <w:color w:val="auto"/>
                <w:sz w:val="21"/>
                <w:szCs w:val="21"/>
                <w:lang w:val="en-US" w:eastAsia="zh-CN"/>
              </w:rPr>
              <w:t>/s</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2.全压Pa：2000</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3.电机：22kw</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2172335" cy="1531620"/>
                  <wp:effectExtent l="0" t="0" r="8890" b="1905"/>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25"/>
                          <a:stretch>
                            <a:fillRect/>
                          </a:stretch>
                        </pic:blipFill>
                        <pic:spPr>
                          <a:xfrm>
                            <a:off x="0" y="0"/>
                            <a:ext cx="2172335" cy="15316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5</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旋风除尘器及配套设备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TDXC-2200</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由进气管、排气管、圆筒体、圆锥体和灰斗组成</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1758950" cy="1704975"/>
                  <wp:effectExtent l="0" t="0" r="3175" b="0"/>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26"/>
                          <a:stretch>
                            <a:fillRect/>
                          </a:stretch>
                        </pic:blipFill>
                        <pic:spPr>
                          <a:xfrm>
                            <a:off x="0" y="0"/>
                            <a:ext cx="1758950" cy="1704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6</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动态配料机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DT6C型</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1、配料机安装大块放坠入筋网；</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2、配料机的有机肥仓安装破拱器；</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3、</w:t>
            </w:r>
            <w:r>
              <w:rPr>
                <w:rFonts w:hint="default" w:ascii="Times New Roman" w:hAnsi="Times New Roman" w:cs="Times New Roman"/>
                <w:color w:val="auto"/>
                <w:sz w:val="21"/>
                <w:szCs w:val="21"/>
                <w:lang w:val="en-US" w:eastAsia="zh-CN"/>
              </w:rPr>
              <w:t>功率</w:t>
            </w:r>
            <w:r>
              <w:rPr>
                <w:rFonts w:hint="default" w:ascii="Times New Roman" w:hAnsi="Times New Roman" w:eastAsia="仿宋_GB2312" w:cs="Times New Roman"/>
                <w:color w:val="auto"/>
                <w:sz w:val="21"/>
                <w:szCs w:val="21"/>
                <w:lang w:val="en-US" w:eastAsia="zh-CN"/>
              </w:rPr>
              <w:t>6.6kw</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cs="Times New Roman"/>
                <w:color w:val="auto"/>
              </w:rPr>
              <w:drawing>
                <wp:inline distT="0" distB="0" distL="114300" distR="114300">
                  <wp:extent cx="1821815" cy="1482725"/>
                  <wp:effectExtent l="0" t="0" r="6985" b="317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7" cstate="print"/>
                          <a:srcRect t="14013"/>
                          <a:stretch>
                            <a:fillRect/>
                          </a:stretch>
                        </pic:blipFill>
                        <pic:spPr>
                          <a:xfrm>
                            <a:off x="0" y="0"/>
                            <a:ext cx="1821815" cy="14827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7</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回转式冷却机及配套设备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TDLQ-1818</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1.钢板厚度为10毫米，扬料板厚度为10毫米；</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2.前后封头板均为65毫米厚钢板制作；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3.滚圈、齿轮、挡轮、托轮等均为重型铸钢件；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4.引风机叶轮和主轴均采用耐高温材质（叶轮与主轴之间采用锥度连接）；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5.转速：4.0rpm；倾角：2.5°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2268855" cy="2255520"/>
                  <wp:effectExtent l="0" t="0" r="7620" b="1905"/>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28"/>
                          <a:stretch>
                            <a:fillRect/>
                          </a:stretch>
                        </pic:blipFill>
                        <pic:spPr>
                          <a:xfrm>
                            <a:off x="0" y="0"/>
                            <a:ext cx="2268855" cy="22555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8</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包膜机及配套设备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TDBM-1870</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1.功率：5.5kw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2.直径：1200mm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3.长度：4000mm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4.产量：10-12t/h</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1813560" cy="1214755"/>
                  <wp:effectExtent l="0" t="0" r="5715" b="4445"/>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pic:cNvPicPr>
                            <a:picLocks noChangeAspect="1"/>
                          </pic:cNvPicPr>
                        </pic:nvPicPr>
                        <pic:blipFill>
                          <a:blip r:embed="rId29"/>
                          <a:stretch>
                            <a:fillRect/>
                          </a:stretch>
                        </pic:blipFill>
                        <pic:spPr>
                          <a:xfrm>
                            <a:off x="0" y="0"/>
                            <a:ext cx="1813560" cy="12147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9</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颗粒滚筒筛分机及配套设备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TDGS-1560</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1.功率：5.5kw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2.机架材质 304不锈钢</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1894840" cy="1515110"/>
                  <wp:effectExtent l="0" t="0" r="635" b="8890"/>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30"/>
                          <a:stretch>
                            <a:fillRect/>
                          </a:stretch>
                        </pic:blipFill>
                        <pic:spPr>
                          <a:xfrm>
                            <a:off x="0" y="0"/>
                            <a:ext cx="1894840" cy="15151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0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10</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颗粒包装秤及配套设备</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TDSFB-50</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1.与物料接触部分均采用 304 不锈钢材.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2.加料和有斗式计量，套袋卸袋的同时进行。</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3.计量精度正负千分之二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1519555" cy="2025650"/>
                  <wp:effectExtent l="0" t="0" r="4445" b="3175"/>
                  <wp:docPr id="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pic:cNvPicPr>
                            <a:picLocks noChangeAspect="1"/>
                          </pic:cNvPicPr>
                        </pic:nvPicPr>
                        <pic:blipFill>
                          <a:blip r:embed="rId31"/>
                          <a:stretch>
                            <a:fillRect/>
                          </a:stretch>
                        </pic:blipFill>
                        <pic:spPr>
                          <a:xfrm>
                            <a:off x="0" y="0"/>
                            <a:ext cx="1519555" cy="2025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7"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11</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有机肥破碎机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LP1000型</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粉碎力度达到造粒要求。对硬物质起到研磨作用。出料口进行降尘处理，杜绝了粉尘的外溢。粉碎机采用立式5 层粉碎装置。</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cs="Times New Roman"/>
                <w:color w:val="auto"/>
              </w:rPr>
              <w:drawing>
                <wp:inline distT="0" distB="0" distL="114300" distR="114300">
                  <wp:extent cx="1823720" cy="1497965"/>
                  <wp:effectExtent l="0" t="0" r="5080" b="6985"/>
                  <wp:docPr id="9" name="图片 3" descr="48ae26ffbdea510ee8ccf728ec8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48ae26ffbdea510ee8ccf728ec85737"/>
                          <pic:cNvPicPr>
                            <a:picLocks noChangeAspect="1"/>
                          </pic:cNvPicPr>
                        </pic:nvPicPr>
                        <pic:blipFill>
                          <a:blip r:embed="rId32" cstate="print"/>
                          <a:srcRect t="20059"/>
                          <a:stretch>
                            <a:fillRect/>
                          </a:stretch>
                        </pic:blipFill>
                        <pic:spPr>
                          <a:xfrm>
                            <a:off x="0" y="0"/>
                            <a:ext cx="1823720" cy="1497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94"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12</w:t>
            </w:r>
          </w:p>
        </w:tc>
        <w:tc>
          <w:tcPr>
            <w:tcW w:w="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有机肥自动喂料机</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WLJ1840型</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1、配套防砸保护网，减少大量喂料冲击仓体。</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2、配套搅拌轴，有效地对大块物料进行搅拌打散，预防卡仓堵塞。</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3、配套震动电机，防止高湿物料粘黏仓壁，造成堵塞。</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4、料仓出料口与皮带连接处采用软连接，即杜绝漏料，又避免刮伤输送带。</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5、下方皮带输送部分为槽式输送皮带机，有效地防止向两侧漏料。</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 xml:space="preserve">   皮带机配套变频可调速电机，能够精确控制送料量。</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cs="Times New Roman"/>
                <w:color w:val="auto"/>
              </w:rPr>
              <w:drawing>
                <wp:inline distT="0" distB="0" distL="114300" distR="114300">
                  <wp:extent cx="1833880" cy="1510030"/>
                  <wp:effectExtent l="0" t="0" r="4445" b="4445"/>
                  <wp:docPr id="13" name="图片 2" descr="84980abf11b5b8d3a50fc0c601de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84980abf11b5b8d3a50fc0c601de4ed"/>
                          <pic:cNvPicPr>
                            <a:picLocks noChangeAspect="1"/>
                          </pic:cNvPicPr>
                        </pic:nvPicPr>
                        <pic:blipFill>
                          <a:blip r:embed="rId33" cstate="print"/>
                          <a:srcRect r="8682" b="11140"/>
                          <a:stretch>
                            <a:fillRect/>
                          </a:stretch>
                        </pic:blipFill>
                        <pic:spPr>
                          <a:xfrm>
                            <a:off x="0" y="0"/>
                            <a:ext cx="1833880" cy="1510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5000" w:type="pct"/>
            <w:gridSpan w:val="5"/>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b/>
                <w:bCs/>
                <w:color w:val="auto"/>
                <w:sz w:val="24"/>
                <w:szCs w:val="24"/>
                <w:lang w:eastAsia="zh-CN"/>
              </w:rPr>
              <w:t>（</w:t>
            </w:r>
            <w:r>
              <w:rPr>
                <w:rFonts w:hint="default" w:ascii="Times New Roman" w:hAnsi="Times New Roman" w:eastAsia="仿宋_GB2312" w:cs="Times New Roman"/>
                <w:b/>
                <w:bCs/>
                <w:color w:val="auto"/>
                <w:sz w:val="24"/>
                <w:szCs w:val="24"/>
                <w:lang w:val="en-US" w:eastAsia="zh-CN"/>
              </w:rPr>
              <w:t>4</w:t>
            </w:r>
            <w:r>
              <w:rPr>
                <w:rFonts w:hint="default" w:ascii="Times New Roman" w:hAnsi="Times New Roman" w:eastAsia="仿宋_GB2312" w:cs="Times New Roman"/>
                <w:b/>
                <w:bCs/>
                <w:color w:val="auto"/>
                <w:sz w:val="24"/>
                <w:szCs w:val="24"/>
                <w:lang w:eastAsia="zh-CN"/>
              </w:rPr>
              <w:t>）</w:t>
            </w:r>
            <w:r>
              <w:rPr>
                <w:rFonts w:hint="default" w:ascii="Times New Roman" w:hAnsi="Times New Roman" w:eastAsia="仿宋_GB2312" w:cs="Times New Roman"/>
                <w:b/>
                <w:bCs/>
                <w:color w:val="auto"/>
                <w:sz w:val="24"/>
                <w:szCs w:val="24"/>
                <w:highlight w:val="none"/>
                <w:lang w:val="en-US" w:eastAsia="zh-CN"/>
              </w:rPr>
              <w:t>秸秆收储数控中心（管理平台）建设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1</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高清摄像头</w:t>
            </w:r>
          </w:p>
        </w:tc>
        <w:tc>
          <w:tcPr>
            <w:tcW w:w="7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.最大分辨率2560*1440；2.3D降噪；             3.支持背光补偿；        4.配套512G内存卡，12V2A壁挂摄像头电源</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rPr>
              <w:drawing>
                <wp:inline distT="0" distB="0" distL="114300" distR="114300">
                  <wp:extent cx="1287780" cy="1289050"/>
                  <wp:effectExtent l="9525" t="9525" r="17145" b="15875"/>
                  <wp:docPr id="13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图片 2"/>
                          <pic:cNvPicPr>
                            <a:picLocks noChangeAspect="1"/>
                          </pic:cNvPicPr>
                        </pic:nvPicPr>
                        <pic:blipFill>
                          <a:blip r:embed="rId34"/>
                          <a:stretch>
                            <a:fillRect/>
                          </a:stretch>
                        </pic:blipFill>
                        <pic:spPr>
                          <a:xfrm>
                            <a:off x="0" y="0"/>
                            <a:ext cx="1287780" cy="1289050"/>
                          </a:xfrm>
                          <a:prstGeom prst="rect">
                            <a:avLst/>
                          </a:prstGeom>
                          <a:solidFill>
                            <a:srgbClr val="FFFFFF">
                              <a:alpha val="100000"/>
                            </a:srgbClr>
                          </a:solidFill>
                          <a:ln w="9525" cap="flat" cmpd="sng">
                            <a:solidFill>
                              <a:srgbClr val="000000"/>
                            </a:solidFill>
                            <a:prstDash val="solid"/>
                            <a:miter/>
                            <a:headEnd type="none" w="med" len="med"/>
                            <a:tailEnd type="none" w="med" len="me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2</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LED显示屏</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LED 类型 SMD2121</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模组分辨率 128*64</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模组尺寸(mm*mm) 320*160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像素密度(点/m2 ) 160000</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白平衡亮度(nit) ≥800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色温(k) 2000～15000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水平/垂直视角 ≥160°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发光点中心距偏差 ＜3%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亮度均匀性 ≥98%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色度均匀性 ±0.003 Cx,Cy 内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对比度 ≥8000:1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最佳视距(m)  1.8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每平米平均功耗(W) 130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每平米最大功耗(W) 420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 xml:space="preserve">供电要求 AC 200 -240V 50Hz  </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rPr>
              <w:drawing>
                <wp:inline distT="0" distB="0" distL="114300" distR="114300">
                  <wp:extent cx="1884045" cy="1076960"/>
                  <wp:effectExtent l="0" t="0" r="1905" b="8890"/>
                  <wp:docPr id="1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图片 1"/>
                          <pic:cNvPicPr>
                            <a:picLocks noChangeAspect="1"/>
                          </pic:cNvPicPr>
                        </pic:nvPicPr>
                        <pic:blipFill>
                          <a:blip r:embed="rId35"/>
                          <a:stretch>
                            <a:fillRect/>
                          </a:stretch>
                        </pic:blipFill>
                        <pic:spPr>
                          <a:xfrm>
                            <a:off x="0" y="0"/>
                            <a:ext cx="1884045" cy="10769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3</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工作站</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P920</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GPU服务器主机 2个金牌5218R，512G，2T固态+16T，RTXA4000-16G</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114300" distR="114300">
                  <wp:extent cx="845185" cy="995045"/>
                  <wp:effectExtent l="0" t="0" r="254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6"/>
                          <a:stretch>
                            <a:fillRect/>
                          </a:stretch>
                        </pic:blipFill>
                        <pic:spPr>
                          <a:xfrm>
                            <a:off x="0" y="0"/>
                            <a:ext cx="845185" cy="995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台式计算机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M4000q</w:t>
            </w:r>
          </w:p>
        </w:tc>
        <w:tc>
          <w:tcPr>
            <w:tcW w:w="1530" w:type="pct"/>
            <w:noWrap w:val="0"/>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CPU型号：i5-14400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核心数：十核</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显示器分辨率：1920*1080</w:t>
            </w:r>
          </w:p>
          <w:p>
            <w:pPr>
              <w:pStyle w:val="8"/>
              <w:keepNext w:val="0"/>
              <w:keepLines w:val="0"/>
              <w:pageBreakBefore w:val="0"/>
              <w:kinsoku/>
              <w:wordWrap/>
              <w:overflowPunct/>
              <w:topLinePunct w:val="0"/>
              <w:autoSpaceDE/>
              <w:autoSpaceDN/>
              <w:bidi w:val="0"/>
              <w:snapToGrid/>
              <w:spacing w:line="240" w:lineRule="auto"/>
              <w:ind w:left="0" w:leftChars="0" w:firstLine="0" w:firstLineChars="0"/>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屏幕尺寸：22英寸</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Autospacing="0" w:line="240" w:lineRule="auto"/>
              <w:ind w:right="0" w:rightChars="0"/>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内存容量：32GB</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Autospacing="0" w:line="240" w:lineRule="auto"/>
              <w:ind w:right="0" w:rightChars="0"/>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处理器：intel i5</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Autospacing="0" w:line="240" w:lineRule="auto"/>
              <w:ind w:right="0" w:rightChars="0"/>
              <w:rPr>
                <w:rFonts w:hint="default"/>
                <w:lang w:val="en-US" w:eastAsia="zh-CN"/>
              </w:rPr>
            </w:pPr>
            <w:r>
              <w:rPr>
                <w:rFonts w:hint="default" w:ascii="Times New Roman" w:hAnsi="Times New Roman" w:eastAsia="仿宋_GB2312" w:cs="Times New Roman"/>
                <w:color w:val="auto"/>
                <w:kern w:val="2"/>
                <w:sz w:val="21"/>
                <w:szCs w:val="21"/>
                <w:lang w:val="en-US" w:eastAsia="zh-CN" w:bidi="ar-SA"/>
              </w:rPr>
              <w:t>硬盘容量：1TB SSD</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drawing>
                <wp:inline distT="0" distB="0" distL="114300" distR="114300">
                  <wp:extent cx="2150745" cy="1199515"/>
                  <wp:effectExtent l="0" t="0" r="1905" b="6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7"/>
                          <a:stretch>
                            <a:fillRect/>
                          </a:stretch>
                        </pic:blipFill>
                        <pic:spPr>
                          <a:xfrm>
                            <a:off x="0" y="0"/>
                            <a:ext cx="2150745" cy="11995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51" w:hRule="atLeast"/>
          <w:jc w:val="center"/>
        </w:trPr>
        <w:tc>
          <w:tcPr>
            <w:tcW w:w="5000" w:type="pct"/>
            <w:gridSpan w:val="5"/>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b/>
                <w:bCs/>
                <w:color w:val="auto"/>
                <w:sz w:val="24"/>
                <w:szCs w:val="24"/>
                <w:lang w:eastAsia="zh-CN"/>
              </w:rPr>
              <w:t>（</w:t>
            </w:r>
            <w:r>
              <w:rPr>
                <w:rFonts w:hint="eastAsia"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eastAsia="zh-CN"/>
              </w:rPr>
              <w:t>）</w:t>
            </w:r>
            <w:r>
              <w:rPr>
                <w:rFonts w:hint="default" w:ascii="Times New Roman" w:hAnsi="Times New Roman" w:eastAsia="仿宋_GB2312" w:cs="Times New Roman"/>
                <w:b/>
                <w:bCs/>
                <w:color w:val="auto"/>
                <w:sz w:val="24"/>
                <w:szCs w:val="24"/>
                <w:lang w:val="en-US" w:eastAsia="zh-CN"/>
              </w:rPr>
              <w:t>秸秆饲料化建设</w:t>
            </w:r>
            <w:r>
              <w:rPr>
                <w:rFonts w:hint="eastAsia" w:cs="Times New Roman"/>
                <w:b/>
                <w:bCs/>
                <w:color w:val="auto"/>
                <w:sz w:val="24"/>
                <w:szCs w:val="24"/>
                <w:lang w:val="en-US" w:eastAsia="zh-CN"/>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21"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1</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铡草机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9Z-15</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eastAsia"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电机：22</w:t>
            </w:r>
            <w:r>
              <w:rPr>
                <w:rFonts w:hint="eastAsia" w:ascii="Times New Roman" w:hAnsi="Times New Roman" w:cs="Times New Roman"/>
                <w:color w:val="auto"/>
                <w:sz w:val="21"/>
                <w:szCs w:val="21"/>
                <w:lang w:val="en-US" w:eastAsia="zh-CN"/>
              </w:rPr>
              <w:t>kw</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籽粒破碎，超细型（2-5cm,长度可调）；</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带有防堵塞功能</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装前尺寸（mm）：约1920*2250*3240</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装后尺寸(mm)：约4200*2250*3240</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537970" cy="1581785"/>
                  <wp:effectExtent l="0" t="0" r="5080" b="8890"/>
                  <wp:docPr id="1255" name="图片 6" descr=".15吨微信图片_2024073013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图片 6" descr=".15吨微信图片_20240730135613"/>
                          <pic:cNvPicPr>
                            <a:picLocks noChangeAspect="1"/>
                          </pic:cNvPicPr>
                        </pic:nvPicPr>
                        <pic:blipFill>
                          <a:blip r:embed="rId38"/>
                          <a:stretch>
                            <a:fillRect/>
                          </a:stretch>
                        </pic:blipFill>
                        <pic:spPr>
                          <a:xfrm>
                            <a:off x="0" y="0"/>
                            <a:ext cx="1537970" cy="15817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21"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2</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输送带</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8米</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eastAsia"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电机：3</w:t>
            </w:r>
            <w:r>
              <w:rPr>
                <w:rFonts w:hint="eastAsia" w:ascii="Times New Roman" w:hAnsi="Times New Roman" w:cs="Times New Roman"/>
                <w:color w:val="auto"/>
                <w:sz w:val="21"/>
                <w:szCs w:val="21"/>
                <w:lang w:val="en-US" w:eastAsia="zh-CN"/>
              </w:rPr>
              <w:t>kw</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皮带宽度：80cm</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装前尺寸（mm）：8000*1000</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装后尺寸(mm)：8000*1000*3300</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087120" cy="1223645"/>
                  <wp:effectExtent l="0" t="0" r="8255" b="5080"/>
                  <wp:docPr id="20" name="图片 14" descr="输送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输送带1"/>
                          <pic:cNvPicPr>
                            <a:picLocks noChangeAspect="1"/>
                          </pic:cNvPicPr>
                        </pic:nvPicPr>
                        <pic:blipFill>
                          <a:blip r:embed="rId8"/>
                          <a:stretch>
                            <a:fillRect/>
                          </a:stretch>
                        </pic:blipFill>
                        <pic:spPr>
                          <a:xfrm>
                            <a:off x="0" y="0"/>
                            <a:ext cx="1087120" cy="1223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21"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3</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打包机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55型</w:t>
            </w:r>
          </w:p>
        </w:tc>
        <w:tc>
          <w:tcPr>
            <w:tcW w:w="153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eastAsia"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电机：15</w:t>
            </w:r>
            <w:r>
              <w:rPr>
                <w:rFonts w:hint="eastAsia" w:ascii="Times New Roman" w:hAnsi="Times New Roman" w:cs="Times New Roman"/>
                <w:color w:val="auto"/>
                <w:sz w:val="21"/>
                <w:szCs w:val="21"/>
                <w:lang w:val="en-US" w:eastAsia="zh-CN"/>
              </w:rPr>
              <w:t>kw</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输送带2.8米</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气泵、小推车1个，网架膜架1套</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4.5立方单出料上料箱1台</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708150" cy="1275080"/>
                  <wp:effectExtent l="0" t="0" r="6350" b="1270"/>
                  <wp:docPr id="1258" name="图片 3" descr="24e98f677028ee350b49e3481c60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图片 3" descr="24e98f677028ee350b49e3481c601e5"/>
                          <pic:cNvPicPr>
                            <a:picLocks noChangeAspect="1"/>
                          </pic:cNvPicPr>
                        </pic:nvPicPr>
                        <pic:blipFill>
                          <a:blip r:embed="rId39"/>
                          <a:stretch>
                            <a:fillRect/>
                          </a:stretch>
                        </pic:blipFill>
                        <pic:spPr>
                          <a:xfrm>
                            <a:off x="0" y="0"/>
                            <a:ext cx="1708150" cy="12750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2"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4</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lang w:val="en-US" w:eastAsia="zh-CN" w:bidi="ar-SA"/>
              </w:rPr>
              <w:t>分料器</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BN-15A</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电机：11kw</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整机尺寸（mm）：</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4285*2850*2200</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料斗尺寸（mm）：3670*1200*2200</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lang w:val="en-US" w:eastAsia="zh-CN" w:bidi="ar-SA"/>
              </w:rPr>
              <w:t>槽钢：140mm*50mm</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322705" cy="1354455"/>
                  <wp:effectExtent l="0" t="0" r="1270" b="762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0"/>
                          <a:stretch>
                            <a:fillRect/>
                          </a:stretch>
                        </pic:blipFill>
                        <pic:spPr>
                          <a:xfrm>
                            <a:off x="0" y="0"/>
                            <a:ext cx="1322705" cy="13544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2"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lang w:val="en-US" w:eastAsia="zh-CN" w:bidi="ar-SA"/>
              </w:rPr>
              <w:t>装车输送带</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kern w:val="2"/>
                <w:sz w:val="21"/>
                <w:szCs w:val="21"/>
                <w:lang w:val="en-US" w:eastAsia="zh-CN" w:bidi="ar-SA"/>
              </w:rPr>
              <w:t>10米</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电机：4kw</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皮带宽度：60厘米</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可升降高度范围：2米-4.5米</w:t>
            </w:r>
          </w:p>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转速：1440转/分</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1779270" cy="1110615"/>
                  <wp:effectExtent l="0" t="0" r="1905" b="381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1"/>
                          <a:stretch>
                            <a:fillRect/>
                          </a:stretch>
                        </pic:blipFill>
                        <pic:spPr>
                          <a:xfrm>
                            <a:off x="0" y="0"/>
                            <a:ext cx="1779270" cy="11106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2"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210" w:firstLineChars="100"/>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6</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立式全混合日粮饲料搅拌机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TMR</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电机：30kw*2台</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重量：5吨</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外形尺寸</w:t>
            </w:r>
            <w:r>
              <w:rPr>
                <w:rFonts w:hint="default" w:ascii="Times New Roman" w:hAnsi="Times New Roman" w:eastAsia="仿宋_GB2312" w:cs="Times New Roman"/>
                <w:color w:val="auto"/>
                <w:sz w:val="21"/>
                <w:szCs w:val="21"/>
              </w:rPr>
              <w:t>(mm)：约</w:t>
            </w:r>
            <w:r>
              <w:rPr>
                <w:rFonts w:hint="default" w:ascii="Times New Roman" w:hAnsi="Times New Roman" w:eastAsia="仿宋_GB2312" w:cs="Times New Roman"/>
                <w:color w:val="auto"/>
                <w:sz w:val="21"/>
                <w:szCs w:val="21"/>
                <w:lang w:val="en-US" w:eastAsia="zh-CN"/>
              </w:rPr>
              <w:t>6800</w:t>
            </w:r>
            <w:r>
              <w:rPr>
                <w:rFonts w:hint="default" w:ascii="Times New Roman" w:hAnsi="Times New Roman" w:eastAsia="仿宋_GB2312" w:cs="Times New Roman"/>
                <w:color w:val="auto"/>
                <w:sz w:val="21"/>
                <w:szCs w:val="21"/>
              </w:rPr>
              <w:t>*2</w:t>
            </w:r>
            <w:r>
              <w:rPr>
                <w:rFonts w:hint="default" w:ascii="Times New Roman" w:hAnsi="Times New Roman" w:eastAsia="仿宋_GB2312" w:cs="Times New Roman"/>
                <w:color w:val="auto"/>
                <w:sz w:val="21"/>
                <w:szCs w:val="21"/>
                <w:lang w:val="en-US" w:eastAsia="zh-CN"/>
              </w:rPr>
              <w:t>350</w:t>
            </w:r>
            <w:r>
              <w:rPr>
                <w:rFonts w:hint="default" w:ascii="Times New Roman" w:hAnsi="Times New Roman" w:eastAsia="仿宋_GB2312" w:cs="Times New Roman"/>
                <w:color w:val="auto"/>
                <w:sz w:val="21"/>
                <w:szCs w:val="21"/>
              </w:rPr>
              <w:t>*2</w:t>
            </w:r>
            <w:r>
              <w:rPr>
                <w:rFonts w:hint="default" w:ascii="Times New Roman" w:hAnsi="Times New Roman" w:eastAsia="仿宋_GB2312" w:cs="Times New Roman"/>
                <w:color w:val="auto"/>
                <w:sz w:val="21"/>
                <w:szCs w:val="21"/>
                <w:lang w:val="en-US" w:eastAsia="zh-CN"/>
              </w:rPr>
              <w:t>600</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主轴转速：23r/min</w:t>
            </w:r>
          </w:p>
          <w:p>
            <w:pPr>
              <w:keepNext w:val="0"/>
              <w:keepLines w:val="0"/>
              <w:pageBreakBefore w:val="0"/>
              <w:kinsoku/>
              <w:wordWrap/>
              <w:overflowPunct/>
              <w:topLinePunct w:val="0"/>
              <w:autoSpaceDE/>
              <w:autoSpaceDN/>
              <w:bidi w:val="0"/>
              <w:adjustRightInd/>
              <w:snapToGrid/>
              <w:spacing w:line="240" w:lineRule="auto"/>
              <w:ind w:left="0" w:firstLine="0" w:firstLineChars="0"/>
              <w:textAlignment w:val="center"/>
              <w:rPr>
                <w:rFonts w:hint="default" w:ascii="Times New Roman" w:hAnsi="Times New Roman" w:eastAsia="仿宋_GB2312" w:cs="Times New Roman"/>
                <w:color w:val="auto"/>
                <w:sz w:val="21"/>
                <w:szCs w:val="21"/>
                <w:lang w:val="en-US" w:eastAsia="zh-CN"/>
              </w:rPr>
            </w:pP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2"/>
                <w:sz w:val="21"/>
                <w:szCs w:val="21"/>
                <w:lang w:val="en-US" w:eastAsia="zh-CN" w:bidi="ar-SA"/>
              </w:rPr>
              <w:drawing>
                <wp:inline distT="0" distB="0" distL="114300" distR="114300">
                  <wp:extent cx="1960880" cy="1334770"/>
                  <wp:effectExtent l="0" t="0" r="1270" b="8255"/>
                  <wp:docPr id="1" name="图片 1" descr="bc59a1878c8792696b58f67ec588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c59a1878c8792696b58f67ec5886f1"/>
                          <pic:cNvPicPr>
                            <a:picLocks noChangeAspect="1"/>
                          </pic:cNvPicPr>
                        </pic:nvPicPr>
                        <pic:blipFill>
                          <a:blip r:embed="rId42"/>
                          <a:stretch>
                            <a:fillRect/>
                          </a:stretch>
                        </pic:blipFill>
                        <pic:spPr>
                          <a:xfrm>
                            <a:off x="0" y="0"/>
                            <a:ext cx="1960880" cy="13347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3"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7</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装载机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ZL958</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4120增压发动机</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马力：106马力</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举高：5.5m</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329690" cy="1466215"/>
                  <wp:effectExtent l="0" t="0" r="3810" b="635"/>
                  <wp:docPr id="4" name="图片 8" descr="装载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装载机"/>
                          <pic:cNvPicPr>
                            <a:picLocks noChangeAspect="1"/>
                          </pic:cNvPicPr>
                        </pic:nvPicPr>
                        <pic:blipFill>
                          <a:blip r:embed="rId43"/>
                          <a:stretch>
                            <a:fillRect/>
                          </a:stretch>
                        </pic:blipFill>
                        <pic:spPr>
                          <a:xfrm>
                            <a:off x="0" y="0"/>
                            <a:ext cx="1329690" cy="14662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铡草机（柴油版）</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9Z-9A</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外形尺寸（mm）：2630*2230*4120，配套动力：30马力柴油机；刀片数量：3片；整机质量（kg）：800kg，主轴转速：1400转，生产效率：8-10T/h，进料形式：链条输送，粉碎长度：20-50mm可调30马力</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346200" cy="1427480"/>
                  <wp:effectExtent l="0" t="0" r="6350" b="1270"/>
                  <wp:docPr id="1265" name="图片 1" descr="5d99fb417bf04b9d874ea0222624e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图片 1" descr="5d99fb417bf04b9d874ea0222624e7b4"/>
                          <pic:cNvPicPr>
                            <a:picLocks noChangeAspect="1"/>
                          </pic:cNvPicPr>
                        </pic:nvPicPr>
                        <pic:blipFill>
                          <a:blip r:embed="rId44"/>
                          <a:stretch>
                            <a:fillRect/>
                          </a:stretch>
                        </pic:blipFill>
                        <pic:spPr>
                          <a:xfrm>
                            <a:off x="0" y="0"/>
                            <a:ext cx="1346200" cy="14274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9</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多功能粉碎机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800型</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主机功率：55kw；风机功率：11kw；进料口宽度：800mm；转速：2500r/min；</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2289810" cy="1397635"/>
                  <wp:effectExtent l="0" t="0" r="5715" b="2540"/>
                  <wp:docPr id="1266" name="图片 165" descr="万能粉碎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图片 165" descr="万能粉碎机1"/>
                          <pic:cNvPicPr>
                            <a:picLocks noChangeAspect="1"/>
                          </pic:cNvPicPr>
                        </pic:nvPicPr>
                        <pic:blipFill>
                          <a:blip r:embed="rId45"/>
                          <a:stretch>
                            <a:fillRect/>
                          </a:stretch>
                        </pic:blipFill>
                        <pic:spPr>
                          <a:xfrm>
                            <a:off x="0" y="0"/>
                            <a:ext cx="2289810" cy="13976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10</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出料螺旋提升机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9LX-4</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长度:3.5米，直径219，电机3kw</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501775" cy="1086485"/>
                  <wp:effectExtent l="0" t="0" r="3175" b="8890"/>
                  <wp:docPr id="1267" name="图片 14" descr="173336676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图片 14" descr="1733366765465"/>
                          <pic:cNvPicPr>
                            <a:picLocks noChangeAspect="1"/>
                          </pic:cNvPicPr>
                        </pic:nvPicPr>
                        <pic:blipFill>
                          <a:blip r:embed="rId15"/>
                          <a:stretch>
                            <a:fillRect/>
                          </a:stretch>
                        </pic:blipFill>
                        <pic:spPr>
                          <a:xfrm>
                            <a:off x="0" y="0"/>
                            <a:ext cx="1501775" cy="10864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11</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饲料粉碎机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型号9HLP-2000</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粉碎电机：15</w:t>
            </w:r>
            <w:r>
              <w:rPr>
                <w:rFonts w:hint="eastAsia" w:ascii="Times New Roman" w:hAnsi="Times New Roman" w:cs="Times New Roman"/>
                <w:color w:val="auto"/>
                <w:sz w:val="21"/>
                <w:szCs w:val="21"/>
                <w:lang w:val="en-US" w:eastAsia="zh-CN"/>
              </w:rPr>
              <w:t>kw</w:t>
            </w:r>
            <w:r>
              <w:rPr>
                <w:rFonts w:hint="default" w:ascii="Times New Roman" w:hAnsi="Times New Roman" w:eastAsia="仿宋_GB2312" w:cs="Times New Roman"/>
                <w:color w:val="auto"/>
                <w:sz w:val="21"/>
                <w:szCs w:val="21"/>
                <w:lang w:val="en-US" w:eastAsia="zh-CN"/>
              </w:rPr>
              <w:t>，粉碎室容积：3.8立方米。立式搅拌混合机电机：4</w:t>
            </w:r>
            <w:r>
              <w:rPr>
                <w:rFonts w:hint="eastAsia" w:ascii="Times New Roman" w:hAnsi="Times New Roman" w:cs="Times New Roman"/>
                <w:color w:val="auto"/>
                <w:sz w:val="21"/>
                <w:szCs w:val="21"/>
                <w:lang w:val="en-US" w:eastAsia="zh-CN"/>
              </w:rPr>
              <w:t>kw</w:t>
            </w:r>
            <w:r>
              <w:rPr>
                <w:rFonts w:hint="default" w:ascii="Times New Roman" w:hAnsi="Times New Roman" w:eastAsia="仿宋_GB2312" w:cs="Times New Roman"/>
                <w:color w:val="auto"/>
                <w:sz w:val="21"/>
                <w:szCs w:val="21"/>
                <w:lang w:val="en-US" w:eastAsia="zh-CN"/>
              </w:rPr>
              <w:t>，搅拌形式：单轴。搅拌机尺寸：2430*1580*3290mm。</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330960" cy="1451610"/>
                  <wp:effectExtent l="0" t="0" r="2540" b="5715"/>
                  <wp:docPr id="1268" name="图片 45" descr="微信图片_20220624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45" descr="微信图片_202206241526"/>
                          <pic:cNvPicPr>
                            <a:picLocks noChangeAspect="1"/>
                          </pic:cNvPicPr>
                        </pic:nvPicPr>
                        <pic:blipFill>
                          <a:blip r:embed="rId46"/>
                          <a:stretch>
                            <a:fillRect/>
                          </a:stretch>
                        </pic:blipFill>
                        <pic:spPr>
                          <a:xfrm>
                            <a:off x="0" y="0"/>
                            <a:ext cx="1330960" cy="14516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12</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卧式混合机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WMH-2000</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结构形式：卧式单轴双螺带</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配套电机：15kw</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减速机：JZQ400</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工作效率：1500-2000/每批次</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搅拌速度：3-5分钟/每批次</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容量：4立方</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整机重量：1250kg</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外形尺寸2800x1100x2100mm</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备注：含进料螺旋输送机</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665605" cy="1250315"/>
                  <wp:effectExtent l="0" t="0" r="1270" b="6985"/>
                  <wp:docPr id="1269" name="图片 4" descr="1c1f8721559f0b0914716b26397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图片 4" descr="1c1f8721559f0b0914716b263977909"/>
                          <pic:cNvPicPr>
                            <a:picLocks noChangeAspect="1"/>
                          </pic:cNvPicPr>
                        </pic:nvPicPr>
                        <pic:blipFill>
                          <a:blip r:embed="rId47"/>
                          <a:stretch>
                            <a:fillRect/>
                          </a:stretch>
                        </pic:blipFill>
                        <pic:spPr>
                          <a:xfrm>
                            <a:off x="0" y="0"/>
                            <a:ext cx="1665605" cy="12503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13</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螺旋输送机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9LX-6</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用于混合搅拌完成后的物料输送,</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长度:6米，直径219,电机3kw</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473835" cy="1282700"/>
                  <wp:effectExtent l="0" t="0" r="2540" b="3175"/>
                  <wp:docPr id="1270" name="图片 12" descr="173336676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图片 12" descr="1733366765465"/>
                          <pic:cNvPicPr>
                            <a:picLocks noChangeAspect="1"/>
                          </pic:cNvPicPr>
                        </pic:nvPicPr>
                        <pic:blipFill>
                          <a:blip r:embed="rId15"/>
                          <a:stretch>
                            <a:fillRect/>
                          </a:stretch>
                        </pic:blipFill>
                        <pic:spPr>
                          <a:xfrm>
                            <a:off x="0" y="0"/>
                            <a:ext cx="1473835" cy="12827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14</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一拖一给料仓</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9HCC-2</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用于制粒前的物料储存及给料,容积:2立方,一个螺旋出料口,出料螺旋带变频调速，电机功率3kw</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306830" cy="1210310"/>
                  <wp:effectExtent l="0" t="0" r="7620" b="8890"/>
                  <wp:docPr id="1271" name="图片 15" descr="173942313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图片 15" descr="1739423138295"/>
                          <pic:cNvPicPr>
                            <a:picLocks noChangeAspect="1"/>
                          </pic:cNvPicPr>
                        </pic:nvPicPr>
                        <pic:blipFill>
                          <a:blip r:embed="rId48"/>
                          <a:stretch>
                            <a:fillRect/>
                          </a:stretch>
                        </pic:blipFill>
                        <pic:spPr>
                          <a:xfrm>
                            <a:off x="0" y="0"/>
                            <a:ext cx="1306830" cy="12103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15</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饲料颗粒机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9PK-500型</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结构形式：平模</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配套电机：55kw</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生产效率：3000kg/每小时</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颗粒直径：6mm</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磨盘数量：1个</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压辊数量：2个</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整机重量：1150kg</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外形尺寸：1900x750x1850mm</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656715" cy="1661160"/>
                  <wp:effectExtent l="0" t="0" r="635" b="5715"/>
                  <wp:docPr id="1272" name="图片 6" descr="d75d54a9a774ed2ecee4c6cd2c8e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图片 6" descr="d75d54a9a774ed2ecee4c6cd2c8ebb0"/>
                          <pic:cNvPicPr>
                            <a:picLocks noChangeAspect="1"/>
                          </pic:cNvPicPr>
                        </pic:nvPicPr>
                        <pic:blipFill>
                          <a:blip r:embed="rId49"/>
                          <a:stretch>
                            <a:fillRect/>
                          </a:stretch>
                        </pic:blipFill>
                        <pic:spPr>
                          <a:xfrm>
                            <a:off x="0" y="0"/>
                            <a:ext cx="1656715" cy="16611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16</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10米裙边式输送机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SX-10</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用于制粒完成后的物料输送, 长度:1000mm,宽度:750mm,功率:4</w:t>
            </w:r>
            <w:r>
              <w:rPr>
                <w:rFonts w:hint="eastAsia" w:ascii="Times New Roman" w:hAnsi="Times New Roman" w:cs="Times New Roman"/>
                <w:color w:val="auto"/>
                <w:sz w:val="21"/>
                <w:szCs w:val="21"/>
                <w:lang w:val="en-US" w:eastAsia="zh-CN"/>
              </w:rPr>
              <w:t>kw</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243330" cy="1291590"/>
                  <wp:effectExtent l="0" t="0" r="4445" b="3810"/>
                  <wp:docPr id="1273" name="图片 8" descr="177f9f18b1ad4b2e44d615837f76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图片 8" descr="177f9f18b1ad4b2e44d615837f76b38"/>
                          <pic:cNvPicPr>
                            <a:picLocks noChangeAspect="1"/>
                          </pic:cNvPicPr>
                        </pic:nvPicPr>
                        <pic:blipFill>
                          <a:blip r:embed="rId18"/>
                          <a:stretch>
                            <a:fillRect/>
                          </a:stretch>
                        </pic:blipFill>
                        <pic:spPr>
                          <a:xfrm>
                            <a:off x="0" y="0"/>
                            <a:ext cx="1243330" cy="12915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27"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17</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逆流式冷却机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1000型</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出料功率:1.5</w:t>
            </w:r>
            <w:r>
              <w:rPr>
                <w:rFonts w:hint="eastAsia" w:ascii="Times New Roman" w:hAnsi="Times New Roman" w:cs="Times New Roman"/>
                <w:color w:val="auto"/>
                <w:sz w:val="21"/>
                <w:szCs w:val="21"/>
                <w:lang w:val="en-US" w:eastAsia="zh-CN"/>
              </w:rPr>
              <w:t>kw</w:t>
            </w:r>
            <w:r>
              <w:rPr>
                <w:rFonts w:hint="default" w:ascii="Times New Roman" w:hAnsi="Times New Roman" w:eastAsia="仿宋_GB2312" w:cs="Times New Roman"/>
                <w:color w:val="auto"/>
                <w:sz w:val="21"/>
                <w:szCs w:val="21"/>
                <w:lang w:val="en-US" w:eastAsia="zh-CN"/>
              </w:rPr>
              <w:t>,             风机功率:15</w:t>
            </w:r>
            <w:r>
              <w:rPr>
                <w:rFonts w:hint="eastAsia" w:ascii="Times New Roman" w:hAnsi="Times New Roman" w:cs="Times New Roman"/>
                <w:color w:val="auto"/>
                <w:sz w:val="21"/>
                <w:szCs w:val="21"/>
                <w:lang w:val="en-US" w:eastAsia="zh-CN"/>
              </w:rPr>
              <w:t>kw</w:t>
            </w:r>
            <w:r>
              <w:rPr>
                <w:rFonts w:hint="default" w:ascii="Times New Roman" w:hAnsi="Times New Roman" w:eastAsia="仿宋_GB2312" w:cs="Times New Roman"/>
                <w:color w:val="auto"/>
                <w:sz w:val="21"/>
                <w:szCs w:val="21"/>
                <w:lang w:val="en-US" w:eastAsia="zh-CN"/>
              </w:rPr>
              <w:t>，                  带物料限位装置,自动下料.</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169670" cy="1134110"/>
                  <wp:effectExtent l="0" t="0" r="1905" b="8890"/>
                  <wp:docPr id="12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图片 11"/>
                          <pic:cNvPicPr>
                            <a:picLocks noChangeAspect="1"/>
                          </pic:cNvPicPr>
                        </pic:nvPicPr>
                        <pic:blipFill>
                          <a:blip r:embed="rId50"/>
                          <a:stretch>
                            <a:fillRect/>
                          </a:stretch>
                        </pic:blipFill>
                        <pic:spPr>
                          <a:xfrm>
                            <a:off x="0" y="0"/>
                            <a:ext cx="1169670" cy="11341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18</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8米裙边式输送机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SX-8</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用于制粒完成后的物料输送,长度:800mm,宽度:750mm,功率:4</w:t>
            </w:r>
            <w:r>
              <w:rPr>
                <w:rFonts w:hint="eastAsia" w:ascii="Times New Roman" w:hAnsi="Times New Roman" w:cs="Times New Roman"/>
                <w:color w:val="auto"/>
                <w:sz w:val="21"/>
                <w:szCs w:val="21"/>
                <w:lang w:val="en-US" w:eastAsia="zh-CN"/>
              </w:rPr>
              <w:t>kw</w:t>
            </w:r>
            <w:r>
              <w:rPr>
                <w:rFonts w:hint="default" w:ascii="Times New Roman" w:hAnsi="Times New Roman" w:eastAsia="仿宋_GB2312" w:cs="Times New Roman"/>
                <w:color w:val="auto"/>
                <w:sz w:val="21"/>
                <w:szCs w:val="21"/>
                <w:lang w:val="en-US" w:eastAsia="zh-CN"/>
              </w:rPr>
              <w:t>；</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287780" cy="1285240"/>
                  <wp:effectExtent l="0" t="0" r="7620" b="635"/>
                  <wp:docPr id="1277" name="图片 9" descr="177f9f18b1ad4b2e44d615837f76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图片 9" descr="177f9f18b1ad4b2e44d615837f76b38"/>
                          <pic:cNvPicPr>
                            <a:picLocks noChangeAspect="1"/>
                          </pic:cNvPicPr>
                        </pic:nvPicPr>
                        <pic:blipFill>
                          <a:blip r:embed="rId18"/>
                          <a:stretch>
                            <a:fillRect/>
                          </a:stretch>
                        </pic:blipFill>
                        <pic:spPr>
                          <a:xfrm>
                            <a:off x="0" y="0"/>
                            <a:ext cx="1287780" cy="12852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19</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定量包装机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6000型</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用于颗粒的包装</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功率:1.5</w:t>
            </w:r>
            <w:r>
              <w:rPr>
                <w:rFonts w:hint="eastAsia" w:ascii="Times New Roman" w:hAnsi="Times New Roman" w:cs="Times New Roman"/>
                <w:color w:val="auto"/>
                <w:sz w:val="21"/>
                <w:szCs w:val="21"/>
                <w:lang w:val="en-US" w:eastAsia="zh-CN"/>
              </w:rPr>
              <w:t>kw</w:t>
            </w:r>
            <w:r>
              <w:rPr>
                <w:rFonts w:hint="default" w:ascii="Times New Roman" w:hAnsi="Times New Roman" w:eastAsia="仿宋_GB2312" w:cs="Times New Roman"/>
                <w:color w:val="auto"/>
                <w:sz w:val="21"/>
                <w:szCs w:val="21"/>
                <w:lang w:val="en-US" w:eastAsia="zh-CN"/>
              </w:rPr>
              <w:t>,产能:300包/H,长:3000mm,宽:800mm,高:3400mm。              每包：25-50</w:t>
            </w:r>
            <w:r>
              <w:rPr>
                <w:rFonts w:hint="eastAsia" w:ascii="Times New Roman" w:hAnsi="Times New Roman" w:cs="Times New Roman"/>
                <w:color w:val="auto"/>
                <w:sz w:val="21"/>
                <w:szCs w:val="21"/>
                <w:lang w:val="en-US" w:eastAsia="zh-CN"/>
              </w:rPr>
              <w:t>kg</w:t>
            </w:r>
            <w:r>
              <w:rPr>
                <w:rFonts w:hint="default" w:ascii="Times New Roman" w:hAnsi="Times New Roman" w:eastAsia="仿宋_GB2312" w:cs="Times New Roman"/>
                <w:color w:val="auto"/>
                <w:sz w:val="21"/>
                <w:szCs w:val="21"/>
                <w:lang w:val="en-US" w:eastAsia="zh-CN"/>
              </w:rPr>
              <w:t>可调。</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205865" cy="1207135"/>
                  <wp:effectExtent l="0" t="0" r="3810" b="2540"/>
                  <wp:docPr id="127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图片 1" descr="IMG_256"/>
                          <pic:cNvPicPr>
                            <a:picLocks noChangeAspect="1"/>
                          </pic:cNvPicPr>
                        </pic:nvPicPr>
                        <pic:blipFill>
                          <a:blip r:embed="rId51"/>
                          <a:stretch>
                            <a:fillRect/>
                          </a:stretch>
                        </pic:blipFill>
                        <pic:spPr>
                          <a:xfrm>
                            <a:off x="0" y="0"/>
                            <a:ext cx="1205865" cy="12071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94"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20</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电控柜</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en-US" w:eastAsia="zh-CN"/>
              </w:rPr>
              <w:t>HY-100</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控制电柜</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总功率：300kw</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外壳材质：喷塑</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电器元件：德力西+人民</w:t>
            </w:r>
          </w:p>
        </w:tc>
        <w:tc>
          <w:tcPr>
            <w:tcW w:w="1897"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inline distT="0" distB="0" distL="114300" distR="114300">
                  <wp:extent cx="1221740" cy="1343025"/>
                  <wp:effectExtent l="0" t="0" r="6985" b="0"/>
                  <wp:docPr id="1276" name="图片 14" descr="f0e2c04935e9251d55eafd33e63e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图片 14" descr="f0e2c04935e9251d55eafd33e63ee34"/>
                          <pic:cNvPicPr>
                            <a:picLocks noChangeAspect="1"/>
                          </pic:cNvPicPr>
                        </pic:nvPicPr>
                        <pic:blipFill>
                          <a:blip r:embed="rId52"/>
                          <a:stretch>
                            <a:fillRect/>
                          </a:stretch>
                        </pic:blipFill>
                        <pic:spPr>
                          <a:xfrm>
                            <a:off x="0" y="0"/>
                            <a:ext cx="1221740" cy="13430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5000" w:type="pct"/>
            <w:gridSpan w:val="5"/>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b/>
                <w:bCs/>
                <w:color w:val="auto"/>
                <w:sz w:val="24"/>
                <w:szCs w:val="24"/>
                <w:lang w:eastAsia="zh-CN"/>
              </w:rPr>
              <w:t>（</w:t>
            </w:r>
            <w:r>
              <w:rPr>
                <w:rFonts w:hint="eastAsia" w:cs="Times New Roman"/>
                <w:b/>
                <w:bCs/>
                <w:color w:val="auto"/>
                <w:sz w:val="24"/>
                <w:szCs w:val="24"/>
                <w:lang w:val="en-US" w:eastAsia="zh-CN"/>
              </w:rPr>
              <w:t>6</w:t>
            </w:r>
            <w:r>
              <w:rPr>
                <w:rFonts w:hint="default" w:ascii="Times New Roman" w:hAnsi="Times New Roman" w:eastAsia="仿宋_GB2312" w:cs="Times New Roman"/>
                <w:b/>
                <w:bCs/>
                <w:color w:val="auto"/>
                <w:sz w:val="24"/>
                <w:szCs w:val="24"/>
                <w:lang w:eastAsia="zh-CN"/>
              </w:rPr>
              <w:t>）</w:t>
            </w:r>
            <w:r>
              <w:rPr>
                <w:rFonts w:hint="default" w:ascii="Times New Roman" w:hAnsi="Times New Roman" w:eastAsia="仿宋_GB2312" w:cs="Times New Roman"/>
                <w:b/>
                <w:bCs/>
                <w:color w:val="auto"/>
                <w:sz w:val="24"/>
                <w:szCs w:val="24"/>
                <w:lang w:val="en-US" w:eastAsia="zh-CN"/>
              </w:rPr>
              <w:t>秸秆</w:t>
            </w:r>
            <w:r>
              <w:rPr>
                <w:rFonts w:hint="eastAsia" w:cs="Times New Roman"/>
                <w:b/>
                <w:bCs/>
                <w:color w:val="auto"/>
                <w:sz w:val="24"/>
                <w:szCs w:val="24"/>
                <w:lang w:val="en-US" w:eastAsia="zh-CN"/>
              </w:rPr>
              <w:t>收割配套</w:t>
            </w:r>
            <w:r>
              <w:rPr>
                <w:rFonts w:hint="default" w:ascii="Times New Roman" w:hAnsi="Times New Roman" w:eastAsia="仿宋_GB2312" w:cs="Times New Roman"/>
                <w:b/>
                <w:bCs/>
                <w:color w:val="auto"/>
                <w:sz w:val="24"/>
                <w:szCs w:val="24"/>
                <w:lang w:val="en-US" w:eastAsia="zh-CN"/>
              </w:rPr>
              <w:t>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jc w:val="center"/>
        </w:trPr>
        <w:tc>
          <w:tcPr>
            <w:tcW w:w="381"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21</w:t>
            </w:r>
          </w:p>
        </w:tc>
        <w:tc>
          <w:tcPr>
            <w:tcW w:w="476"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水稻收割打捆一体机</w:t>
            </w:r>
          </w:p>
        </w:tc>
        <w:tc>
          <w:tcPr>
            <w:tcW w:w="713"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30" w:type="pct"/>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连接方式：自走式</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配套功率：66.1kw</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工作宽幅：1720mm</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整机重量：3.477吨</w:t>
            </w:r>
          </w:p>
          <w:p>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收割效率：0.27-0.53公顷/小时</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eastAsia="仿宋_GB2312" w:cs="Times New Roman"/>
                <w:color w:val="auto"/>
                <w:kern w:val="2"/>
                <w:sz w:val="21"/>
                <w:szCs w:val="21"/>
                <w:lang w:val="en-US" w:eastAsia="zh-CN" w:bidi="ar-SA"/>
              </w:rPr>
            </w:pPr>
          </w:p>
        </w:tc>
        <w:tc>
          <w:tcPr>
            <w:tcW w:w="189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drawing>
                <wp:inline distT="0" distB="0" distL="114300" distR="114300">
                  <wp:extent cx="2068830" cy="1339215"/>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stretch>
                            <a:fillRect/>
                          </a:stretch>
                        </pic:blipFill>
                        <pic:spPr>
                          <a:xfrm>
                            <a:off x="0" y="0"/>
                            <a:ext cx="2068830" cy="1339215"/>
                          </a:xfrm>
                          <a:prstGeom prst="rect">
                            <a:avLst/>
                          </a:prstGeom>
                          <a:noFill/>
                          <a:ln>
                            <a:noFill/>
                          </a:ln>
                        </pic:spPr>
                      </pic:pic>
                    </a:graphicData>
                  </a:graphic>
                </wp:inline>
              </w:drawing>
            </w:r>
          </w:p>
        </w:tc>
      </w:tr>
    </w:tbl>
    <w:p>
      <w:pPr>
        <w:keepNext w:val="0"/>
        <w:keepLines w:val="0"/>
        <w:pageBreakBefore w:val="0"/>
        <w:widowControl/>
        <w:kinsoku/>
        <w:wordWrap/>
        <w:overflowPunct/>
        <w:topLinePunct/>
        <w:autoSpaceDE/>
        <w:autoSpaceDN w:val="0"/>
        <w:bidi w:val="0"/>
        <w:adjustRightInd w:val="0"/>
        <w:snapToGrid w:val="0"/>
        <w:spacing w:line="360" w:lineRule="auto"/>
        <w:ind w:firstLine="643" w:firstLineChars="200"/>
        <w:jc w:val="left"/>
        <w:textAlignment w:val="baseline"/>
        <w:rPr>
          <w:rFonts w:hint="default" w:ascii="Times New Roman" w:hAnsi="Times New Roman" w:cs="Times New Roman"/>
          <w:b/>
          <w:bCs/>
          <w:snapToGrid/>
          <w:sz w:val="32"/>
          <w:szCs w:val="32"/>
          <w:lang w:val="en-US" w:eastAsia="zh-CN"/>
        </w:rPr>
      </w:pPr>
    </w:p>
    <w:p>
      <w:pPr>
        <w:keepNext w:val="0"/>
        <w:keepLines w:val="0"/>
        <w:pageBreakBefore w:val="0"/>
        <w:widowControl/>
        <w:kinsoku/>
        <w:wordWrap/>
        <w:overflowPunct/>
        <w:topLinePunct/>
        <w:autoSpaceDE/>
        <w:autoSpaceDN w:val="0"/>
        <w:bidi w:val="0"/>
        <w:adjustRightInd w:val="0"/>
        <w:snapToGrid w:val="0"/>
        <w:spacing w:line="360" w:lineRule="auto"/>
        <w:ind w:firstLine="640" w:firstLineChars="200"/>
        <w:jc w:val="left"/>
        <w:textAlignment w:val="baseline"/>
        <w:outlineLvl w:val="0"/>
        <w:rPr>
          <w:rFonts w:hint="eastAsia" w:ascii="黑体" w:hAnsi="黑体" w:eastAsia="黑体" w:cs="黑体"/>
          <w:b w:val="0"/>
          <w:bCs w:val="0"/>
          <w:snapToGrid/>
          <w:sz w:val="32"/>
          <w:szCs w:val="32"/>
          <w:lang w:val="en-US" w:eastAsia="zh-CN"/>
        </w:rPr>
      </w:pPr>
      <w:r>
        <w:rPr>
          <w:rFonts w:hint="eastAsia" w:ascii="黑体" w:hAnsi="黑体" w:eastAsia="黑体" w:cs="黑体"/>
          <w:b w:val="0"/>
          <w:bCs w:val="0"/>
          <w:snapToGrid/>
          <w:sz w:val="32"/>
          <w:szCs w:val="32"/>
          <w:lang w:val="en-US" w:eastAsia="zh-CN"/>
        </w:rPr>
        <w:t>四、项目进度安排</w:t>
      </w:r>
    </w:p>
    <w:p>
      <w:pPr>
        <w:keepNext w:val="0"/>
        <w:keepLines w:val="0"/>
        <w:pageBreakBefore w:val="0"/>
        <w:widowControl/>
        <w:kinsoku/>
        <w:wordWrap/>
        <w:overflowPunct/>
        <w:topLinePunct/>
        <w:autoSpaceDE/>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b w:val="0"/>
          <w:bCs w:val="0"/>
          <w:snapToGrid/>
          <w:sz w:val="32"/>
          <w:szCs w:val="32"/>
          <w:lang w:val="en-US" w:eastAsia="zh-CN"/>
        </w:rPr>
      </w:pPr>
      <w:r>
        <w:rPr>
          <w:rFonts w:hint="eastAsia" w:ascii="楷体_GB2312" w:hAnsi="楷体_GB2312" w:eastAsia="楷体_GB2312" w:cs="楷体_GB2312"/>
          <w:b w:val="0"/>
          <w:bCs w:val="0"/>
          <w:color w:val="000000"/>
          <w:kern w:val="0"/>
          <w:sz w:val="32"/>
          <w:szCs w:val="32"/>
          <w:lang w:val="en-US" w:eastAsia="zh-CN" w:bidi="ar-SA"/>
        </w:rPr>
        <w:t>（一）项目实施方案编制。</w:t>
      </w:r>
      <w:r>
        <w:rPr>
          <w:rFonts w:hint="eastAsia" w:ascii="仿宋_GB2312" w:hAnsi="仿宋_GB2312" w:eastAsia="仿宋_GB2312" w:cs="仿宋_GB2312"/>
          <w:sz w:val="32"/>
          <w:szCs w:val="32"/>
          <w:lang w:val="en-US" w:eastAsia="zh-CN"/>
        </w:rPr>
        <w:t>2025年2月中下旬，编制好项目实施方案、开展招标采购等工作。</w:t>
      </w:r>
    </w:p>
    <w:p>
      <w:pPr>
        <w:keepNext w:val="0"/>
        <w:keepLines w:val="0"/>
        <w:pageBreakBefore w:val="0"/>
        <w:widowControl/>
        <w:kinsoku/>
        <w:wordWrap/>
        <w:overflowPunct/>
        <w:topLinePunct/>
        <w:autoSpaceDE/>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color w:val="000000"/>
          <w:kern w:val="0"/>
          <w:sz w:val="32"/>
          <w:szCs w:val="32"/>
          <w:lang w:val="en-US" w:eastAsia="zh-CN" w:bidi="ar-SA"/>
        </w:rPr>
        <w:t>（二）项目建设。</w:t>
      </w:r>
      <w:r>
        <w:rPr>
          <w:rFonts w:hint="eastAsia" w:ascii="仿宋_GB2312" w:hAnsi="仿宋_GB2312" w:eastAsia="仿宋_GB2312" w:cs="仿宋_GB2312"/>
          <w:sz w:val="32"/>
          <w:szCs w:val="32"/>
          <w:lang w:val="en-US" w:eastAsia="zh-CN"/>
        </w:rPr>
        <w:t>2025年11月底前完成项目建设。</w:t>
      </w:r>
    </w:p>
    <w:p>
      <w:pPr>
        <w:keepNext w:val="0"/>
        <w:keepLines w:val="0"/>
        <w:pageBreakBefore w:val="0"/>
        <w:widowControl/>
        <w:kinsoku/>
        <w:wordWrap/>
        <w:overflowPunct/>
        <w:topLinePunct/>
        <w:autoSpaceDE/>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color w:val="000000"/>
          <w:kern w:val="0"/>
          <w:sz w:val="32"/>
          <w:szCs w:val="32"/>
          <w:lang w:val="en-US" w:eastAsia="zh-CN" w:bidi="ar-SA"/>
        </w:rPr>
        <w:t>（三）项目验收。</w:t>
      </w:r>
      <w:r>
        <w:rPr>
          <w:rFonts w:hint="eastAsia" w:ascii="仿宋_GB2312" w:hAnsi="仿宋_GB2312" w:eastAsia="仿宋_GB2312" w:cs="仿宋_GB2312"/>
          <w:sz w:val="32"/>
          <w:szCs w:val="32"/>
          <w:lang w:val="en-US" w:eastAsia="zh-CN"/>
        </w:rPr>
        <w:t>2025年12月底前，完成项目验收、资料收集、整理等工作。</w:t>
      </w:r>
    </w:p>
    <w:p>
      <w:pPr>
        <w:keepNext w:val="0"/>
        <w:keepLines w:val="0"/>
        <w:pageBreakBefore w:val="0"/>
        <w:widowControl/>
        <w:kinsoku/>
        <w:wordWrap/>
        <w:overflowPunct/>
        <w:topLinePunct/>
        <w:autoSpaceDE/>
        <w:autoSpaceDN w:val="0"/>
        <w:bidi w:val="0"/>
        <w:adjustRightInd w:val="0"/>
        <w:snapToGrid w:val="0"/>
        <w:spacing w:line="560" w:lineRule="exact"/>
        <w:ind w:firstLine="640" w:firstLineChars="200"/>
        <w:jc w:val="left"/>
        <w:textAlignment w:val="baseline"/>
        <w:outlineLvl w:val="0"/>
        <w:rPr>
          <w:rFonts w:hint="eastAsia" w:ascii="黑体" w:hAnsi="黑体" w:eastAsia="黑体" w:cs="黑体"/>
          <w:b w:val="0"/>
          <w:bCs w:val="0"/>
          <w:snapToGrid/>
          <w:sz w:val="32"/>
          <w:szCs w:val="32"/>
          <w:lang w:val="en-US" w:eastAsia="zh-CN"/>
        </w:rPr>
      </w:pPr>
      <w:r>
        <w:rPr>
          <w:rFonts w:hint="eastAsia" w:ascii="黑体" w:hAnsi="黑体" w:eastAsia="黑体" w:cs="黑体"/>
          <w:b w:val="0"/>
          <w:bCs w:val="0"/>
          <w:snapToGrid/>
          <w:sz w:val="32"/>
          <w:szCs w:val="32"/>
          <w:lang w:val="en-US" w:eastAsia="zh-CN"/>
        </w:rPr>
        <w:t>五、项目投资估算和资金筹措</w:t>
      </w:r>
    </w:p>
    <w:p>
      <w:pPr>
        <w:keepNext w:val="0"/>
        <w:keepLines w:val="0"/>
        <w:pageBreakBefore w:val="0"/>
        <w:widowControl/>
        <w:kinsoku/>
        <w:wordWrap/>
        <w:overflowPunct/>
        <w:topLinePunct/>
        <w:autoSpaceDE/>
        <w:autoSpaceDN w:val="0"/>
        <w:bidi w:val="0"/>
        <w:adjustRightInd w:val="0"/>
        <w:snapToGrid w:val="0"/>
        <w:spacing w:line="560" w:lineRule="exact"/>
        <w:ind w:firstLine="640" w:firstLineChars="200"/>
        <w:jc w:val="left"/>
        <w:textAlignment w:val="baseline"/>
        <w:outlineLvl w:val="1"/>
        <w:rPr>
          <w:rFonts w:hint="eastAsia" w:ascii="楷体_GB2312" w:hAnsi="楷体_GB2312" w:eastAsia="楷体_GB2312" w:cs="楷体_GB2312"/>
          <w:b w:val="0"/>
          <w:bCs w:val="0"/>
          <w:color w:val="000000"/>
          <w:kern w:val="0"/>
          <w:sz w:val="32"/>
          <w:szCs w:val="32"/>
          <w:lang w:val="en-US" w:eastAsia="zh-CN" w:bidi="ar-SA"/>
        </w:rPr>
      </w:pPr>
      <w:bookmarkStart w:id="8" w:name="_Toc29852"/>
      <w:bookmarkStart w:id="9" w:name="_Toc3903"/>
      <w:r>
        <w:rPr>
          <w:rFonts w:hint="eastAsia" w:ascii="楷体_GB2312" w:hAnsi="楷体_GB2312" w:eastAsia="楷体_GB2312" w:cs="楷体_GB2312"/>
          <w:b w:val="0"/>
          <w:bCs w:val="0"/>
          <w:color w:val="000000"/>
          <w:kern w:val="0"/>
          <w:sz w:val="32"/>
          <w:szCs w:val="32"/>
          <w:lang w:val="en-US" w:eastAsia="zh-CN" w:bidi="ar-SA"/>
        </w:rPr>
        <w:t>（一）资金来源</w:t>
      </w:r>
      <w:bookmarkEnd w:id="8"/>
      <w:bookmarkEnd w:id="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项目资金来源于贵州省财政厅 贵州省农业农村厅《关于提前下达2025年中央财政农业资源保护（地膜科学使用回收试点、农作物秸秆综合利用、渔业资源保护）资金的通知（黔财农〔2024〕194号）文件下达农作物秸秆综合利用资金490万元。</w:t>
      </w:r>
    </w:p>
    <w:p>
      <w:pPr>
        <w:keepNext w:val="0"/>
        <w:keepLines w:val="0"/>
        <w:pageBreakBefore w:val="0"/>
        <w:widowControl/>
        <w:kinsoku/>
        <w:wordWrap/>
        <w:overflowPunct/>
        <w:topLinePunct/>
        <w:autoSpaceDE/>
        <w:autoSpaceDN w:val="0"/>
        <w:bidi w:val="0"/>
        <w:adjustRightInd w:val="0"/>
        <w:snapToGrid w:val="0"/>
        <w:spacing w:line="560" w:lineRule="exact"/>
        <w:ind w:left="0" w:leftChars="0" w:firstLine="640" w:firstLineChars="200"/>
        <w:jc w:val="left"/>
        <w:textAlignment w:val="baseline"/>
        <w:outlineLvl w:val="1"/>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（二）项目资金支持环节和使用计划</w:t>
      </w:r>
    </w:p>
    <w:p>
      <w:pPr>
        <w:keepNext w:val="0"/>
        <w:keepLines w:val="0"/>
        <w:pageBreakBefore w:val="0"/>
        <w:widowControl/>
        <w:kinsoku/>
        <w:wordWrap/>
        <w:overflowPunct/>
        <w:topLinePunct/>
        <w:autoSpaceDE/>
        <w:autoSpaceDN w:val="0"/>
        <w:bidi w:val="0"/>
        <w:adjustRightInd w:val="0"/>
        <w:snapToGrid w:val="0"/>
        <w:spacing w:line="560" w:lineRule="exact"/>
        <w:ind w:firstLine="643" w:firstLineChars="200"/>
        <w:jc w:val="left"/>
        <w:textAlignment w:val="baseline"/>
        <w:rPr>
          <w:rFonts w:hint="eastAsia" w:ascii="仿宋_GB2312" w:hAnsi="仿宋_GB2312" w:eastAsia="仿宋_GB2312" w:cs="仿宋_GB2312"/>
          <w:b/>
          <w:bCs/>
          <w:snapToGrid/>
          <w:sz w:val="32"/>
          <w:szCs w:val="32"/>
          <w:lang w:val="en-US" w:eastAsia="zh-CN"/>
        </w:rPr>
      </w:pPr>
      <w:r>
        <w:rPr>
          <w:rFonts w:hint="eastAsia" w:ascii="仿宋_GB2312" w:hAnsi="仿宋_GB2312" w:eastAsia="仿宋_GB2312" w:cs="仿宋_GB2312"/>
          <w:b/>
          <w:bCs/>
          <w:snapToGrid/>
          <w:sz w:val="32"/>
          <w:szCs w:val="32"/>
          <w:lang w:val="en-US" w:eastAsia="zh-CN"/>
        </w:rPr>
        <w:t>1、项目资金支持环节和对象。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绥阳县辖区内遴选秸秆综合利用量大，效果显著，示范带动能力强，积极性高的市场化利用主体2家。</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left"/>
        <w:textAlignment w:val="auto"/>
        <w:rPr>
          <w:rFonts w:hint="eastAsia" w:ascii="仿宋_GB2312" w:hAnsi="仿宋_GB2312" w:eastAsia="仿宋_GB2312" w:cs="仿宋_GB2312"/>
          <w:b/>
          <w:bCs/>
          <w:snapToGrid/>
          <w:sz w:val="32"/>
          <w:szCs w:val="32"/>
          <w:lang w:val="en-US" w:eastAsia="zh-CN"/>
        </w:rPr>
      </w:pPr>
      <w:r>
        <w:rPr>
          <w:rFonts w:hint="eastAsia" w:ascii="仿宋_GB2312" w:hAnsi="仿宋_GB2312" w:eastAsia="仿宋_GB2312" w:cs="仿宋_GB2312"/>
          <w:b/>
          <w:bCs/>
          <w:snapToGrid/>
          <w:sz w:val="32"/>
          <w:szCs w:val="32"/>
          <w:lang w:val="en-US" w:eastAsia="zh-CN"/>
        </w:rPr>
        <w:t>2、项目资金使用计划。</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left"/>
        <w:textAlignment w:val="auto"/>
        <w:rPr>
          <w:rFonts w:hint="eastAsia" w:ascii="仿宋_GB2312" w:hAnsi="仿宋_GB2312" w:eastAsia="仿宋_GB2312" w:cs="仿宋_GB2312"/>
          <w:b/>
          <w:bCs/>
          <w:snapToGrid/>
          <w:sz w:val="32"/>
          <w:szCs w:val="32"/>
          <w:lang w:val="en-US" w:eastAsia="zh-CN"/>
        </w:rPr>
      </w:pPr>
      <w:r>
        <w:rPr>
          <w:rFonts w:hint="eastAsia" w:ascii="仿宋_GB2312" w:hAnsi="仿宋_GB2312" w:eastAsia="仿宋_GB2312" w:cs="仿宋_GB2312"/>
          <w:b/>
          <w:bCs/>
          <w:snapToGrid/>
          <w:sz w:val="32"/>
          <w:szCs w:val="32"/>
          <w:lang w:val="en-US" w:eastAsia="zh-CN"/>
        </w:rPr>
        <w:t>项目总投资506.95万元，其中：中央财政资金投入490万元，企业自筹16.95万元。其中：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①探索绥阳县秸秆收储运体系建设；在全县15个镇乡（街道办）新建设秸秆回收网点30个及配套设备，中央财政投入资金155.5万元，企业自筹1.95万元，占中央财政总资金的31.75%。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②秸秆饲料化利用生产设施设备建设1，中央财政投入资金66.4万元，占中央财政总资金的13.55%。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③秸秆饲料化利用生产设施设备建设2，中央财政投入资金89.49万元，占中央财政总资金的18.26%。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④秸秆肥料化利用生产设施设备建设，中央财政投入资金128.2万元，占中央财政总资金的26.16%。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⑤秸秆收储数控中心（管理平台）1个，中央财政投入资金18.79万元，企业自筹15万元，占中央财政总资金的3.84%。</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⑥秸秆饲料化和肥料化利用关键技术研发，完成秸秆颗粒饲料配方2个，制备秸秆腐熟菌剂2种，完成1套秸秆综合利用先进技术与典型案例征集推介（研发过程中的劳务费、分析测试费、试剂耗材费等），中央财政投入资金25.62万元，占中央财政总资金的5.23%。</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⑦建设秸秆综合利用示范基地1个，中央财政投入资金3万元，占中央财政总资金的0.61%。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⑧宣传培训：中央财政投入资金3.0万元（培训费2.0万元、资料费1.0万元），培训200人次以上，其中省级以上媒体宣传1次，占中央财政总资金0.61%。</w:t>
      </w:r>
    </w:p>
    <w:p>
      <w:pPr>
        <w:keepNext w:val="0"/>
        <w:keepLines w:val="0"/>
        <w:pageBreakBefore w:val="0"/>
        <w:widowControl/>
        <w:kinsoku/>
        <w:wordWrap/>
        <w:overflowPunct/>
        <w:topLinePunct/>
        <w:autoSpaceDE/>
        <w:autoSpaceDN w:val="0"/>
        <w:bidi w:val="0"/>
        <w:adjustRightInd w:val="0"/>
        <w:snapToGrid w:val="0"/>
        <w:spacing w:line="560" w:lineRule="exact"/>
        <w:ind w:firstLine="640" w:firstLineChars="200"/>
        <w:jc w:val="left"/>
        <w:textAlignment w:val="baseline"/>
        <w:outlineLvl w:val="1"/>
        <w:rPr>
          <w:rFonts w:hint="eastAsia" w:ascii="仿宋_GB2312" w:hAnsi="仿宋_GB2312" w:eastAsia="仿宋_GB2312" w:cs="仿宋_GB2312"/>
          <w:b/>
          <w:sz w:val="32"/>
          <w:szCs w:val="32"/>
          <w:lang w:val="en-US" w:eastAsia="zh-CN"/>
        </w:rPr>
      </w:pPr>
      <w:r>
        <w:rPr>
          <w:rFonts w:hint="eastAsia" w:ascii="楷体_GB2312" w:hAnsi="楷体_GB2312" w:eastAsia="楷体_GB2312" w:cs="楷体_GB2312"/>
          <w:b w:val="0"/>
          <w:bCs w:val="0"/>
          <w:color w:val="000000"/>
          <w:kern w:val="0"/>
          <w:sz w:val="32"/>
          <w:szCs w:val="32"/>
          <w:lang w:val="en-US" w:eastAsia="zh-CN" w:bidi="ar-SA"/>
        </w:rPr>
        <w:t>（三）项目概算：</w:t>
      </w:r>
      <w:r>
        <w:rPr>
          <w:rFonts w:hint="eastAsia" w:ascii="仿宋_GB2312" w:hAnsi="仿宋_GB2312" w:eastAsia="仿宋_GB2312" w:cs="仿宋_GB2312"/>
          <w:sz w:val="32"/>
          <w:szCs w:val="32"/>
          <w:lang w:val="en-US" w:eastAsia="zh-CN"/>
        </w:rPr>
        <w:t>项目概算情况表2。</w:t>
      </w:r>
    </w:p>
    <w:p>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 xml:space="preserve">表2 </w:t>
      </w:r>
      <w:r>
        <w:rPr>
          <w:rFonts w:hint="eastAsia" w:ascii="仿宋_GB2312" w:hAnsi="仿宋_GB2312" w:eastAsia="仿宋_GB2312" w:cs="仿宋_GB2312"/>
          <w:b/>
          <w:sz w:val="32"/>
          <w:szCs w:val="32"/>
        </w:rPr>
        <w:t>202</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rPr>
        <w:t>年</w:t>
      </w:r>
      <w:r>
        <w:rPr>
          <w:rFonts w:hint="eastAsia" w:ascii="仿宋_GB2312" w:hAnsi="仿宋_GB2312" w:eastAsia="仿宋_GB2312" w:cs="仿宋_GB2312"/>
          <w:b/>
          <w:sz w:val="32"/>
          <w:szCs w:val="32"/>
          <w:lang w:val="en-US" w:eastAsia="zh-CN"/>
        </w:rPr>
        <w:t>绥阳</w:t>
      </w:r>
      <w:r>
        <w:rPr>
          <w:rFonts w:hint="eastAsia" w:ascii="仿宋_GB2312" w:hAnsi="仿宋_GB2312" w:eastAsia="仿宋_GB2312" w:cs="仿宋_GB2312"/>
          <w:b/>
          <w:sz w:val="32"/>
          <w:szCs w:val="32"/>
        </w:rPr>
        <w:t>县秸秆综合利用重点县建设项目投资概算表</w:t>
      </w:r>
    </w:p>
    <w:tbl>
      <w:tblPr>
        <w:tblStyle w:val="10"/>
        <w:tblW w:w="4766"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639"/>
        <w:gridCol w:w="17"/>
        <w:gridCol w:w="1457"/>
        <w:gridCol w:w="3487"/>
        <w:gridCol w:w="1359"/>
        <w:gridCol w:w="925"/>
        <w:gridCol w:w="75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369" w:type="pct"/>
            <w:vMerge w:val="restart"/>
            <w:tcBorders>
              <w:bottom w:val="single" w:color="000000"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853" w:type="pct"/>
            <w:gridSpan w:val="2"/>
            <w:vMerge w:val="restart"/>
            <w:tcBorders>
              <w:left w:val="single" w:color="auto"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建设内容</w:t>
            </w:r>
          </w:p>
        </w:tc>
        <w:tc>
          <w:tcPr>
            <w:tcW w:w="2018" w:type="pct"/>
            <w:vMerge w:val="restart"/>
            <w:tcBorders>
              <w:left w:val="single" w:color="auto"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val="en-US" w:eastAsia="zh-CN"/>
              </w:rPr>
              <w:t>建设项目</w:t>
            </w:r>
            <w:r>
              <w:rPr>
                <w:rFonts w:hint="default" w:ascii="Times New Roman" w:hAnsi="Times New Roman" w:cs="Times New Roman"/>
                <w:b/>
                <w:bCs/>
                <w:color w:val="auto"/>
                <w:kern w:val="0"/>
                <w:sz w:val="21"/>
                <w:szCs w:val="21"/>
              </w:rPr>
              <w:t>名称</w:t>
            </w:r>
          </w:p>
        </w:tc>
        <w:tc>
          <w:tcPr>
            <w:tcW w:w="786" w:type="pct"/>
            <w:vMerge w:val="restart"/>
            <w:tcBorders>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总投资(万元)</w:t>
            </w:r>
          </w:p>
        </w:tc>
        <w:tc>
          <w:tcPr>
            <w:tcW w:w="971" w:type="pct"/>
            <w:gridSpan w:val="2"/>
            <w:tcBorders>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总投资(万元)</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00" w:hRule="atLeast"/>
          <w:jc w:val="center"/>
        </w:trPr>
        <w:tc>
          <w:tcPr>
            <w:tcW w:w="369" w:type="pct"/>
            <w:vMerge w:val="continue"/>
            <w:tcBorders>
              <w:top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auto"/>
                <w:kern w:val="0"/>
                <w:sz w:val="21"/>
                <w:szCs w:val="21"/>
              </w:rPr>
            </w:pPr>
          </w:p>
        </w:tc>
        <w:tc>
          <w:tcPr>
            <w:tcW w:w="853" w:type="pct"/>
            <w:gridSpan w:val="2"/>
            <w:vMerge w:val="continue"/>
            <w:tcBorders>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auto"/>
                <w:kern w:val="0"/>
                <w:sz w:val="21"/>
                <w:szCs w:val="21"/>
              </w:rPr>
            </w:pPr>
          </w:p>
        </w:tc>
        <w:tc>
          <w:tcPr>
            <w:tcW w:w="2018" w:type="pct"/>
            <w:vMerge w:val="continue"/>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auto"/>
                <w:kern w:val="0"/>
                <w:sz w:val="21"/>
                <w:szCs w:val="21"/>
              </w:rPr>
            </w:pPr>
          </w:p>
        </w:tc>
        <w:tc>
          <w:tcPr>
            <w:tcW w:w="786" w:type="pct"/>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auto"/>
                <w:kern w:val="0"/>
                <w:sz w:val="21"/>
                <w:szCs w:val="21"/>
              </w:rPr>
            </w:pPr>
          </w:p>
        </w:tc>
        <w:tc>
          <w:tcPr>
            <w:tcW w:w="53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中央投资</w:t>
            </w:r>
          </w:p>
        </w:tc>
        <w:tc>
          <w:tcPr>
            <w:tcW w:w="435" w:type="pct"/>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企业自筹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005" w:hRule="atLeast"/>
          <w:jc w:val="center"/>
        </w:trPr>
        <w:tc>
          <w:tcPr>
            <w:tcW w:w="369" w:type="pct"/>
            <w:vMerge w:val="restart"/>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一</w:t>
            </w:r>
          </w:p>
        </w:tc>
        <w:tc>
          <w:tcPr>
            <w:tcW w:w="853" w:type="pct"/>
            <w:gridSpan w:val="2"/>
            <w:vMerge w:val="restar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秸秆收储体系</w:t>
            </w:r>
            <w:r>
              <w:rPr>
                <w:rFonts w:hint="eastAsia" w:cs="Times New Roman"/>
                <w:b w:val="0"/>
                <w:bCs w:val="0"/>
                <w:color w:val="auto"/>
                <w:kern w:val="0"/>
                <w:sz w:val="21"/>
                <w:szCs w:val="21"/>
                <w:lang w:val="en-US" w:eastAsia="zh-CN"/>
              </w:rPr>
              <w:t>建设</w:t>
            </w:r>
          </w:p>
        </w:tc>
        <w:tc>
          <w:tcPr>
            <w:tcW w:w="2018" w:type="pc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铡</w:t>
            </w:r>
            <w:r>
              <w:rPr>
                <w:rFonts w:hint="eastAsia" w:cs="Times New Roman"/>
                <w:b w:val="0"/>
                <w:bCs w:val="0"/>
                <w:color w:val="auto"/>
                <w:kern w:val="0"/>
                <w:sz w:val="21"/>
                <w:szCs w:val="21"/>
                <w:highlight w:val="none"/>
                <w:lang w:val="en-US" w:eastAsia="zh-CN"/>
              </w:rPr>
              <w:t>揉</w:t>
            </w:r>
            <w:r>
              <w:rPr>
                <w:rFonts w:hint="default" w:ascii="Times New Roman" w:hAnsi="Times New Roman" w:cs="Times New Roman"/>
                <w:b w:val="0"/>
                <w:bCs w:val="0"/>
                <w:color w:val="auto"/>
                <w:kern w:val="0"/>
                <w:sz w:val="21"/>
                <w:szCs w:val="21"/>
                <w:highlight w:val="none"/>
                <w:lang w:val="en-US" w:eastAsia="zh-CN"/>
              </w:rPr>
              <w:t>草</w:t>
            </w:r>
            <w:r>
              <w:rPr>
                <w:rFonts w:hint="eastAsia" w:cs="Times New Roman"/>
                <w:b w:val="0"/>
                <w:bCs w:val="0"/>
                <w:color w:val="auto"/>
                <w:kern w:val="0"/>
                <w:sz w:val="21"/>
                <w:szCs w:val="21"/>
                <w:highlight w:val="none"/>
                <w:lang w:val="en-US" w:eastAsia="zh-CN"/>
              </w:rPr>
              <w:t>一体</w:t>
            </w:r>
            <w:r>
              <w:rPr>
                <w:rFonts w:hint="default" w:ascii="Times New Roman" w:hAnsi="Times New Roman" w:cs="Times New Roman"/>
                <w:b w:val="0"/>
                <w:bCs w:val="0"/>
                <w:color w:val="auto"/>
                <w:kern w:val="0"/>
                <w:sz w:val="21"/>
                <w:szCs w:val="21"/>
                <w:highlight w:val="none"/>
                <w:lang w:val="en-US" w:eastAsia="zh-CN"/>
              </w:rPr>
              <w:t>机</w:t>
            </w:r>
            <w:r>
              <w:rPr>
                <w:rFonts w:hint="eastAsia" w:cs="Times New Roman"/>
                <w:b w:val="0"/>
                <w:bCs w:val="0"/>
                <w:color w:val="auto"/>
                <w:kern w:val="0"/>
                <w:sz w:val="21"/>
                <w:szCs w:val="21"/>
                <w:highlight w:val="none"/>
                <w:lang w:val="en-US" w:eastAsia="zh-CN"/>
              </w:rPr>
              <w:t>15型30台、5米长</w:t>
            </w:r>
            <w:r>
              <w:rPr>
                <w:rFonts w:hint="default" w:ascii="Times New Roman" w:hAnsi="Times New Roman" w:cs="Times New Roman"/>
                <w:b w:val="0"/>
                <w:bCs w:val="0"/>
                <w:color w:val="auto"/>
                <w:kern w:val="0"/>
                <w:sz w:val="21"/>
                <w:szCs w:val="21"/>
                <w:highlight w:val="none"/>
                <w:lang w:val="en-US" w:eastAsia="zh-CN"/>
              </w:rPr>
              <w:t>输送机</w:t>
            </w:r>
            <w:r>
              <w:rPr>
                <w:rFonts w:hint="eastAsia" w:cs="Times New Roman"/>
                <w:b w:val="0"/>
                <w:bCs w:val="0"/>
                <w:color w:val="auto"/>
                <w:kern w:val="0"/>
                <w:sz w:val="21"/>
                <w:szCs w:val="21"/>
                <w:highlight w:val="none"/>
                <w:lang w:val="en-US" w:eastAsia="zh-CN"/>
              </w:rPr>
              <w:t>30套、单缸秸秆打包机70型5套。</w:t>
            </w:r>
          </w:p>
        </w:tc>
        <w:tc>
          <w:tcPr>
            <w:tcW w:w="786"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155.50</w:t>
            </w:r>
          </w:p>
        </w:tc>
        <w:tc>
          <w:tcPr>
            <w:tcW w:w="535"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155.50</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continue"/>
            <w:tcBorders>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201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蓝牙电子称30台</w:t>
            </w:r>
          </w:p>
        </w:tc>
        <w:tc>
          <w:tcPr>
            <w:tcW w:w="786"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1.95</w:t>
            </w:r>
          </w:p>
        </w:tc>
        <w:tc>
          <w:tcPr>
            <w:tcW w:w="535"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1.95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201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小计</w:t>
            </w:r>
          </w:p>
        </w:tc>
        <w:tc>
          <w:tcPr>
            <w:tcW w:w="786"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157.45</w:t>
            </w:r>
          </w:p>
        </w:tc>
        <w:tc>
          <w:tcPr>
            <w:tcW w:w="535"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155.50</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1.95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913"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restart"/>
            <w:tcBorders>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秸秆饲料化利用建设1</w:t>
            </w:r>
          </w:p>
        </w:tc>
        <w:tc>
          <w:tcPr>
            <w:tcW w:w="2018" w:type="pc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卧式混合搅拌机(9HW-2000)1台、秸秆饲料颗粒机(400)2台、逆流式冷却机(LQ-5000)1台、螺旋提升机(LX-4)1台、6米皮带输送机1台、8米皮带输送机1台、一拖二分料仓1台、8米裙边式输送机(QB-8)1台、10米裙边式输送机(QB-10)1台、自动包装秤(DCS80)1台、秸秆快速发酵机(WZ100)3台、电控柜1台。</w:t>
            </w:r>
          </w:p>
        </w:tc>
        <w:tc>
          <w:tcPr>
            <w:tcW w:w="786"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66.40</w:t>
            </w:r>
          </w:p>
        </w:tc>
        <w:tc>
          <w:tcPr>
            <w:tcW w:w="535"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66.40</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201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小计</w:t>
            </w:r>
          </w:p>
        </w:tc>
        <w:tc>
          <w:tcPr>
            <w:tcW w:w="786"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66.40</w:t>
            </w:r>
          </w:p>
        </w:tc>
        <w:tc>
          <w:tcPr>
            <w:tcW w:w="535"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66.40</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40"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restar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秸秆肥料化</w:t>
            </w:r>
            <w:r>
              <w:rPr>
                <w:rFonts w:hint="eastAsia" w:cs="Times New Roman"/>
                <w:b w:val="0"/>
                <w:bCs w:val="0"/>
                <w:color w:val="auto"/>
                <w:kern w:val="0"/>
                <w:sz w:val="21"/>
                <w:szCs w:val="21"/>
                <w:lang w:val="en-US" w:eastAsia="zh-CN"/>
              </w:rPr>
              <w:t>建设</w:t>
            </w:r>
          </w:p>
        </w:tc>
        <w:tc>
          <w:tcPr>
            <w:tcW w:w="2018" w:type="pc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highlight w:val="none"/>
                <w:lang w:val="en-US" w:eastAsia="zh-CN"/>
              </w:rPr>
              <w:t>转股造粒机</w:t>
            </w:r>
            <w:r>
              <w:rPr>
                <w:rFonts w:hint="eastAsia" w:cs="Times New Roman"/>
                <w:b w:val="0"/>
                <w:bCs w:val="0"/>
                <w:color w:val="auto"/>
                <w:kern w:val="0"/>
                <w:sz w:val="21"/>
                <w:szCs w:val="21"/>
                <w:highlight w:val="none"/>
                <w:lang w:val="en-US" w:eastAsia="zh-CN"/>
              </w:rPr>
              <w:t>及配套设备(TDZGZ-208)1台、</w:t>
            </w:r>
            <w:r>
              <w:rPr>
                <w:rFonts w:hint="eastAsia" w:ascii="仿宋_GB2312" w:hAnsi="仿宋_GB2312" w:eastAsia="仿宋_GB2312" w:cs="仿宋_GB2312"/>
                <w:color w:val="auto"/>
                <w:sz w:val="21"/>
                <w:szCs w:val="21"/>
                <w:lang w:val="en-US" w:eastAsia="zh-CN"/>
              </w:rPr>
              <w:t>场地式发酵机</w:t>
            </w:r>
            <w:r>
              <w:rPr>
                <w:rFonts w:hint="eastAsia" w:ascii="仿宋_GB2312" w:hAnsi="仿宋_GB2312" w:cs="仿宋_GB2312"/>
                <w:color w:val="auto"/>
                <w:sz w:val="21"/>
                <w:szCs w:val="21"/>
                <w:lang w:val="en-US" w:eastAsia="zh-CN"/>
              </w:rPr>
              <w:t>(SDFJ2800型)1台、</w:t>
            </w:r>
            <w:r>
              <w:rPr>
                <w:rFonts w:hint="default" w:ascii="Times New Roman" w:hAnsi="Times New Roman" w:cs="Times New Roman"/>
                <w:b w:val="0"/>
                <w:bCs w:val="0"/>
                <w:color w:val="auto"/>
                <w:kern w:val="0"/>
                <w:sz w:val="21"/>
                <w:szCs w:val="21"/>
                <w:lang w:val="en-US" w:eastAsia="zh-CN"/>
              </w:rPr>
              <w:t>回转式烘干机</w:t>
            </w:r>
            <w:r>
              <w:rPr>
                <w:rFonts w:hint="eastAsia" w:cs="Times New Roman"/>
                <w:b w:val="0"/>
                <w:bCs w:val="0"/>
                <w:color w:val="auto"/>
                <w:kern w:val="0"/>
                <w:sz w:val="21"/>
                <w:szCs w:val="21"/>
                <w:highlight w:val="none"/>
                <w:lang w:val="en-US" w:eastAsia="zh-CN"/>
              </w:rPr>
              <w:t>及配套设备（TDHG-2222）1台、</w:t>
            </w:r>
            <w:r>
              <w:rPr>
                <w:rFonts w:hint="default" w:ascii="Times New Roman" w:hAnsi="Times New Roman" w:cs="Times New Roman"/>
                <w:b w:val="0"/>
                <w:bCs w:val="0"/>
                <w:color w:val="auto"/>
                <w:kern w:val="0"/>
                <w:sz w:val="21"/>
                <w:szCs w:val="21"/>
                <w:lang w:val="en-US" w:eastAsia="zh-CN"/>
              </w:rPr>
              <w:t>引风机</w:t>
            </w:r>
            <w:r>
              <w:rPr>
                <w:rFonts w:hint="eastAsia" w:cs="Times New Roman"/>
                <w:b w:val="0"/>
                <w:bCs w:val="0"/>
                <w:color w:val="auto"/>
                <w:kern w:val="0"/>
                <w:sz w:val="21"/>
                <w:szCs w:val="21"/>
                <w:highlight w:val="none"/>
                <w:lang w:val="en-US" w:eastAsia="zh-CN"/>
              </w:rPr>
              <w:t>及配套设备(TDYF12C)1台、</w:t>
            </w:r>
            <w:r>
              <w:rPr>
                <w:rFonts w:hint="default" w:ascii="Times New Roman" w:hAnsi="Times New Roman" w:cs="Times New Roman"/>
                <w:b w:val="0"/>
                <w:bCs w:val="0"/>
                <w:color w:val="auto"/>
                <w:kern w:val="0"/>
                <w:sz w:val="21"/>
                <w:szCs w:val="21"/>
                <w:lang w:val="en-US" w:eastAsia="zh-CN"/>
              </w:rPr>
              <w:t>旋风除尘器</w:t>
            </w:r>
            <w:r>
              <w:rPr>
                <w:rFonts w:hint="eastAsia" w:cs="Times New Roman"/>
                <w:b w:val="0"/>
                <w:bCs w:val="0"/>
                <w:color w:val="auto"/>
                <w:kern w:val="0"/>
                <w:sz w:val="21"/>
                <w:szCs w:val="21"/>
                <w:highlight w:val="none"/>
                <w:lang w:val="en-US" w:eastAsia="zh-CN"/>
              </w:rPr>
              <w:t>及配套设备(TDXC-2200)1台、</w:t>
            </w:r>
            <w:r>
              <w:rPr>
                <w:rFonts w:hint="eastAsia" w:ascii="仿宋_GB2312" w:hAnsi="仿宋_GB2312" w:eastAsia="仿宋_GB2312" w:cs="仿宋_GB2312"/>
                <w:color w:val="auto"/>
                <w:sz w:val="21"/>
                <w:szCs w:val="21"/>
                <w:lang w:val="en-US" w:eastAsia="zh-CN"/>
              </w:rPr>
              <w:t>动态配料机</w:t>
            </w:r>
            <w:r>
              <w:rPr>
                <w:rFonts w:hint="eastAsia" w:ascii="仿宋_GB2312" w:hAnsi="仿宋_GB2312" w:cs="仿宋_GB2312"/>
                <w:color w:val="auto"/>
                <w:sz w:val="21"/>
                <w:szCs w:val="21"/>
                <w:lang w:val="en-US" w:eastAsia="zh-CN"/>
              </w:rPr>
              <w:t>(DT6C型)1台、</w:t>
            </w:r>
            <w:r>
              <w:rPr>
                <w:rFonts w:hint="default" w:ascii="Times New Roman" w:hAnsi="Times New Roman" w:cs="Times New Roman"/>
                <w:b w:val="0"/>
                <w:bCs w:val="0"/>
                <w:color w:val="auto"/>
                <w:kern w:val="0"/>
                <w:sz w:val="21"/>
                <w:szCs w:val="21"/>
                <w:lang w:val="en-US" w:eastAsia="zh-CN"/>
              </w:rPr>
              <w:t>回转式冷却机</w:t>
            </w:r>
            <w:r>
              <w:rPr>
                <w:rFonts w:hint="eastAsia" w:cs="Times New Roman"/>
                <w:b w:val="0"/>
                <w:bCs w:val="0"/>
                <w:color w:val="auto"/>
                <w:kern w:val="0"/>
                <w:sz w:val="21"/>
                <w:szCs w:val="21"/>
                <w:highlight w:val="none"/>
                <w:lang w:val="en-US" w:eastAsia="zh-CN"/>
              </w:rPr>
              <w:t>及配套设备(TDLQ-1818)1台、</w:t>
            </w:r>
            <w:r>
              <w:rPr>
                <w:rFonts w:hint="default" w:ascii="Times New Roman" w:hAnsi="Times New Roman" w:cs="Times New Roman"/>
                <w:b w:val="0"/>
                <w:bCs w:val="0"/>
                <w:color w:val="auto"/>
                <w:kern w:val="0"/>
                <w:sz w:val="21"/>
                <w:szCs w:val="21"/>
                <w:lang w:val="en-US" w:eastAsia="zh-CN"/>
              </w:rPr>
              <w:t>包膜机</w:t>
            </w:r>
            <w:r>
              <w:rPr>
                <w:rFonts w:hint="eastAsia" w:cs="Times New Roman"/>
                <w:b w:val="0"/>
                <w:bCs w:val="0"/>
                <w:color w:val="auto"/>
                <w:kern w:val="0"/>
                <w:sz w:val="21"/>
                <w:szCs w:val="21"/>
                <w:highlight w:val="none"/>
                <w:lang w:val="en-US" w:eastAsia="zh-CN"/>
              </w:rPr>
              <w:t>及配套设备(TDBM-1870)1台、</w:t>
            </w:r>
            <w:r>
              <w:rPr>
                <w:rFonts w:hint="default" w:ascii="Times New Roman" w:hAnsi="Times New Roman" w:cs="Times New Roman"/>
                <w:b w:val="0"/>
                <w:bCs w:val="0"/>
                <w:color w:val="auto"/>
                <w:kern w:val="0"/>
                <w:sz w:val="21"/>
                <w:szCs w:val="21"/>
                <w:lang w:val="en-US" w:eastAsia="zh-CN"/>
              </w:rPr>
              <w:t>颗粒滚筒筛分机</w:t>
            </w:r>
            <w:r>
              <w:rPr>
                <w:rFonts w:hint="eastAsia" w:cs="Times New Roman"/>
                <w:b w:val="0"/>
                <w:bCs w:val="0"/>
                <w:color w:val="auto"/>
                <w:kern w:val="0"/>
                <w:sz w:val="21"/>
                <w:szCs w:val="21"/>
                <w:highlight w:val="none"/>
                <w:lang w:val="en-US" w:eastAsia="zh-CN"/>
              </w:rPr>
              <w:t>及配套设备(TDGS-1560)1台、</w:t>
            </w:r>
            <w:r>
              <w:rPr>
                <w:rFonts w:hint="default" w:ascii="Times New Roman" w:hAnsi="Times New Roman" w:cs="Times New Roman"/>
                <w:b w:val="0"/>
                <w:bCs w:val="0"/>
                <w:color w:val="auto"/>
                <w:kern w:val="0"/>
                <w:sz w:val="21"/>
                <w:szCs w:val="21"/>
                <w:lang w:val="en-US" w:eastAsia="zh-CN"/>
              </w:rPr>
              <w:t>颗粒包装秤</w:t>
            </w:r>
            <w:r>
              <w:rPr>
                <w:rFonts w:hint="eastAsia" w:cs="Times New Roman"/>
                <w:b w:val="0"/>
                <w:bCs w:val="0"/>
                <w:color w:val="auto"/>
                <w:kern w:val="0"/>
                <w:sz w:val="21"/>
                <w:szCs w:val="21"/>
                <w:highlight w:val="none"/>
                <w:lang w:val="en-US" w:eastAsia="zh-CN"/>
              </w:rPr>
              <w:t>及配套设备(TDSFB-50)1台、</w:t>
            </w:r>
            <w:r>
              <w:rPr>
                <w:rFonts w:hint="eastAsia" w:ascii="仿宋_GB2312" w:hAnsi="仿宋_GB2312" w:eastAsia="仿宋_GB2312" w:cs="仿宋_GB2312"/>
                <w:color w:val="auto"/>
                <w:sz w:val="21"/>
                <w:szCs w:val="21"/>
                <w:lang w:val="en-US" w:eastAsia="zh-CN"/>
              </w:rPr>
              <w:t>有机肥破碎机</w:t>
            </w:r>
            <w:r>
              <w:rPr>
                <w:rFonts w:hint="eastAsia" w:ascii="仿宋_GB2312" w:hAnsi="仿宋_GB2312" w:cs="仿宋_GB2312"/>
                <w:color w:val="auto"/>
                <w:sz w:val="21"/>
                <w:szCs w:val="21"/>
                <w:lang w:val="en-US" w:eastAsia="zh-CN"/>
              </w:rPr>
              <w:t>(LP1000型)1台、</w:t>
            </w:r>
            <w:r>
              <w:rPr>
                <w:rFonts w:hint="eastAsia" w:ascii="仿宋_GB2312" w:hAnsi="仿宋_GB2312" w:eastAsia="仿宋_GB2312" w:cs="仿宋_GB2312"/>
                <w:color w:val="auto"/>
                <w:sz w:val="21"/>
                <w:szCs w:val="21"/>
                <w:lang w:val="en-US" w:eastAsia="zh-CN"/>
              </w:rPr>
              <w:t>有机肥自动喂料</w:t>
            </w:r>
            <w:r>
              <w:rPr>
                <w:rFonts w:hint="eastAsia" w:ascii="仿宋_GB2312" w:hAnsi="仿宋_GB2312" w:cs="仿宋_GB2312"/>
                <w:color w:val="auto"/>
                <w:sz w:val="21"/>
                <w:szCs w:val="21"/>
                <w:lang w:val="en-US" w:eastAsia="zh-CN"/>
              </w:rPr>
              <w:t>（WLJ1840）</w:t>
            </w:r>
            <w:r>
              <w:rPr>
                <w:rFonts w:hint="eastAsia" w:ascii="仿宋_GB2312" w:hAnsi="仿宋_GB2312" w:eastAsia="仿宋_GB2312" w:cs="仿宋_GB2312"/>
                <w:color w:val="auto"/>
                <w:sz w:val="21"/>
                <w:szCs w:val="21"/>
                <w:lang w:val="en-US" w:eastAsia="zh-CN"/>
              </w:rPr>
              <w:t>机</w:t>
            </w:r>
            <w:r>
              <w:rPr>
                <w:rFonts w:hint="eastAsia" w:ascii="仿宋_GB2312" w:hAnsi="仿宋_GB2312" w:cs="仿宋_GB2312"/>
                <w:color w:val="auto"/>
                <w:sz w:val="21"/>
                <w:szCs w:val="21"/>
                <w:lang w:val="en-US" w:eastAsia="zh-CN"/>
              </w:rPr>
              <w:t>1台。</w:t>
            </w:r>
          </w:p>
        </w:tc>
        <w:tc>
          <w:tcPr>
            <w:tcW w:w="786"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128.20</w:t>
            </w:r>
          </w:p>
        </w:tc>
        <w:tc>
          <w:tcPr>
            <w:tcW w:w="535"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128.20</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continue"/>
            <w:tcBorders>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201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小计</w:t>
            </w:r>
          </w:p>
        </w:tc>
        <w:tc>
          <w:tcPr>
            <w:tcW w:w="786"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128.20</w:t>
            </w:r>
          </w:p>
        </w:tc>
        <w:tc>
          <w:tcPr>
            <w:tcW w:w="535"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128.20</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66"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restar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秸秆收储数控中心（管理平台）</w:t>
            </w:r>
          </w:p>
        </w:tc>
        <w:tc>
          <w:tcPr>
            <w:tcW w:w="2018" w:type="pct"/>
            <w:tcBorders>
              <w:top w:val="single" w:color="auto" w:sz="4" w:space="0"/>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高清摄像头</w:t>
            </w:r>
            <w:r>
              <w:rPr>
                <w:rFonts w:hint="eastAsia" w:cs="Times New Roman"/>
                <w:b w:val="0"/>
                <w:bCs w:val="0"/>
                <w:color w:val="auto"/>
                <w:kern w:val="0"/>
                <w:sz w:val="21"/>
                <w:szCs w:val="21"/>
                <w:lang w:val="en-US" w:eastAsia="zh-CN"/>
              </w:rPr>
              <w:t>(HK-Q1S4M-GL/LN1)60个、</w:t>
            </w:r>
            <w:r>
              <w:rPr>
                <w:rFonts w:hint="default" w:ascii="Times New Roman" w:hAnsi="Times New Roman" w:cs="Times New Roman"/>
                <w:b w:val="0"/>
                <w:bCs w:val="0"/>
                <w:color w:val="auto"/>
                <w:kern w:val="0"/>
                <w:sz w:val="21"/>
                <w:szCs w:val="21"/>
                <w:lang w:val="en-US" w:eastAsia="zh-CN"/>
              </w:rPr>
              <w:t>LED显示屏</w:t>
            </w:r>
            <w:r>
              <w:rPr>
                <w:rFonts w:hint="eastAsia" w:cs="Times New Roman"/>
                <w:b w:val="0"/>
                <w:bCs w:val="0"/>
                <w:color w:val="auto"/>
                <w:kern w:val="0"/>
                <w:sz w:val="21"/>
                <w:szCs w:val="21"/>
                <w:lang w:val="en-US" w:eastAsia="zh-CN"/>
              </w:rPr>
              <w:t>(1</w:t>
            </w:r>
            <w:r>
              <w:rPr>
                <w:rFonts w:hint="default" w:ascii="Times New Roman" w:hAnsi="Times New Roman" w:eastAsia="仿宋_GB2312" w:cs="Times New Roman"/>
                <w:color w:val="auto"/>
                <w:sz w:val="21"/>
                <w:szCs w:val="21"/>
                <w:lang w:val="en-US" w:eastAsia="zh-CN"/>
              </w:rPr>
              <w:t>3.82m</w:t>
            </w:r>
            <w:r>
              <w:rPr>
                <w:rFonts w:hint="default" w:ascii="Times New Roman" w:hAnsi="Times New Roman" w:eastAsia="仿宋_GB2312" w:cs="Times New Roman"/>
                <w:color w:val="auto"/>
                <w:sz w:val="21"/>
                <w:szCs w:val="21"/>
                <w:vertAlign w:val="superscript"/>
                <w:lang w:val="en-US" w:eastAsia="zh-CN"/>
              </w:rPr>
              <w:t>2</w:t>
            </w:r>
            <w:r>
              <w:rPr>
                <w:rFonts w:hint="default" w:ascii="Times New Roman" w:hAnsi="Times New Roman" w:eastAsia="仿宋_GB2312" w:cs="Times New Roman"/>
                <w:color w:val="auto"/>
                <w:sz w:val="21"/>
                <w:szCs w:val="21"/>
                <w:lang w:val="en-US" w:eastAsia="zh-CN"/>
              </w:rPr>
              <w:t xml:space="preserve">  BTQ025高刷；Pitch 2.5</w:t>
            </w:r>
            <w:r>
              <w:rPr>
                <w:rFonts w:hint="eastAsia" w:cs="Times New Roman"/>
                <w:b w:val="0"/>
                <w:bCs w:val="0"/>
                <w:color w:val="auto"/>
                <w:kern w:val="0"/>
                <w:sz w:val="21"/>
                <w:szCs w:val="21"/>
                <w:lang w:val="en-US" w:eastAsia="zh-CN"/>
              </w:rPr>
              <w:t>)1个、工作站(</w:t>
            </w:r>
            <w:r>
              <w:rPr>
                <w:rFonts w:hint="default" w:ascii="Times New Roman" w:hAnsi="Times New Roman" w:eastAsia="仿宋_GB2312" w:cs="Times New Roman"/>
                <w:color w:val="auto"/>
                <w:kern w:val="2"/>
                <w:sz w:val="21"/>
                <w:szCs w:val="21"/>
                <w:lang w:val="en-US" w:eastAsia="zh-CN" w:bidi="ar-SA"/>
              </w:rPr>
              <w:t>P920</w:t>
            </w:r>
            <w:r>
              <w:rPr>
                <w:rFonts w:hint="eastAsia" w:cs="Times New Roman"/>
                <w:color w:val="auto"/>
                <w:kern w:val="2"/>
                <w:sz w:val="21"/>
                <w:szCs w:val="21"/>
                <w:lang w:val="en-US" w:eastAsia="zh-CN" w:bidi="ar-SA"/>
              </w:rPr>
              <w:t>)</w:t>
            </w:r>
            <w:r>
              <w:rPr>
                <w:rFonts w:hint="eastAsia" w:cs="Times New Roman"/>
                <w:b w:val="0"/>
                <w:bCs w:val="0"/>
                <w:color w:val="auto"/>
                <w:kern w:val="0"/>
                <w:sz w:val="21"/>
                <w:szCs w:val="21"/>
                <w:lang w:val="en-US" w:eastAsia="zh-CN"/>
              </w:rPr>
              <w:t>1个。</w:t>
            </w:r>
          </w:p>
        </w:tc>
        <w:tc>
          <w:tcPr>
            <w:tcW w:w="786"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18.79</w:t>
            </w:r>
          </w:p>
        </w:tc>
        <w:tc>
          <w:tcPr>
            <w:tcW w:w="535"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18.79</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2"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continue"/>
            <w:tcBorders>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201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台式计算机30台</w:t>
            </w:r>
          </w:p>
        </w:tc>
        <w:tc>
          <w:tcPr>
            <w:tcW w:w="786"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15.00</w:t>
            </w:r>
          </w:p>
        </w:tc>
        <w:tc>
          <w:tcPr>
            <w:tcW w:w="535"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0"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201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小计</w:t>
            </w:r>
          </w:p>
        </w:tc>
        <w:tc>
          <w:tcPr>
            <w:tcW w:w="786"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33.79</w:t>
            </w:r>
          </w:p>
        </w:tc>
        <w:tc>
          <w:tcPr>
            <w:tcW w:w="535"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18.79</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15"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restart"/>
            <w:tcBorders>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秸秆饲料化和肥料化等综合利用关键技术研发</w:t>
            </w:r>
          </w:p>
        </w:tc>
        <w:tc>
          <w:tcPr>
            <w:tcW w:w="2018" w:type="pc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秸秆颗粒饲料配方研发</w:t>
            </w:r>
            <w:r>
              <w:rPr>
                <w:rFonts w:hint="eastAsia" w:cs="Times New Roman"/>
                <w:b w:val="0"/>
                <w:bCs w:val="0"/>
                <w:color w:val="auto"/>
                <w:kern w:val="0"/>
                <w:sz w:val="21"/>
                <w:szCs w:val="21"/>
                <w:lang w:val="en-US" w:eastAsia="zh-CN"/>
              </w:rPr>
              <w:t>2个、</w:t>
            </w:r>
            <w:r>
              <w:rPr>
                <w:rFonts w:hint="default" w:ascii="Times New Roman" w:hAnsi="Times New Roman" w:cs="Times New Roman"/>
                <w:b w:val="0"/>
                <w:bCs w:val="0"/>
                <w:color w:val="auto"/>
                <w:kern w:val="0"/>
                <w:sz w:val="21"/>
                <w:szCs w:val="21"/>
                <w:lang w:val="en-US" w:eastAsia="zh-CN"/>
              </w:rPr>
              <w:t>秸秆腐熟菌剂</w:t>
            </w:r>
            <w:r>
              <w:rPr>
                <w:rFonts w:hint="eastAsia" w:cs="Times New Roman"/>
                <w:b w:val="0"/>
                <w:bCs w:val="0"/>
                <w:color w:val="auto"/>
                <w:kern w:val="0"/>
                <w:sz w:val="21"/>
                <w:szCs w:val="21"/>
                <w:lang w:val="en-US" w:eastAsia="zh-CN"/>
              </w:rPr>
              <w:t>2个。</w:t>
            </w:r>
          </w:p>
        </w:tc>
        <w:tc>
          <w:tcPr>
            <w:tcW w:w="786"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25.62</w:t>
            </w:r>
          </w:p>
        </w:tc>
        <w:tc>
          <w:tcPr>
            <w:tcW w:w="535" w:type="pct"/>
            <w:tcBorders>
              <w:top w:val="single" w:color="auto" w:sz="4" w:space="0"/>
              <w:left w:val="nil"/>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25.62</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0" w:hRule="atLeast"/>
          <w:jc w:val="center"/>
        </w:trPr>
        <w:tc>
          <w:tcPr>
            <w:tcW w:w="36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201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小计</w:t>
            </w:r>
          </w:p>
        </w:tc>
        <w:tc>
          <w:tcPr>
            <w:tcW w:w="786"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25.6</w:t>
            </w:r>
            <w:r>
              <w:rPr>
                <w:rFonts w:hint="eastAsia" w:cs="Times New Roman"/>
                <w:b w:val="0"/>
                <w:bCs w:val="0"/>
                <w:color w:val="auto"/>
                <w:kern w:val="0"/>
                <w:sz w:val="21"/>
                <w:szCs w:val="21"/>
                <w:lang w:val="en-US" w:eastAsia="zh-CN"/>
              </w:rPr>
              <w:t>2</w:t>
            </w:r>
          </w:p>
        </w:tc>
        <w:tc>
          <w:tcPr>
            <w:tcW w:w="535"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25.6</w:t>
            </w:r>
            <w:r>
              <w:rPr>
                <w:rFonts w:hint="eastAsia" w:cs="Times New Roman"/>
                <w:b w:val="0"/>
                <w:bCs w:val="0"/>
                <w:color w:val="auto"/>
                <w:kern w:val="0"/>
                <w:sz w:val="21"/>
                <w:szCs w:val="21"/>
                <w:lang w:val="en-US" w:eastAsia="zh-CN"/>
              </w:rPr>
              <w:t>2</w:t>
            </w:r>
          </w:p>
        </w:tc>
        <w:tc>
          <w:tcPr>
            <w:tcW w:w="435"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87" w:hRule="atLeast"/>
          <w:jc w:val="center"/>
        </w:trPr>
        <w:tc>
          <w:tcPr>
            <w:tcW w:w="369" w:type="pct"/>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rPr>
              <w:t>二</w:t>
            </w:r>
          </w:p>
        </w:tc>
        <w:tc>
          <w:tcPr>
            <w:tcW w:w="853" w:type="pct"/>
            <w:gridSpan w:val="2"/>
            <w:vMerge w:val="restar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lang w:val="en-US" w:eastAsia="zh-CN"/>
              </w:rPr>
              <w:t>秸秆饲料化</w:t>
            </w:r>
            <w:r>
              <w:rPr>
                <w:rFonts w:hint="eastAsia" w:cs="Times New Roman"/>
                <w:b w:val="0"/>
                <w:bCs w:val="0"/>
                <w:color w:val="auto"/>
                <w:kern w:val="0"/>
                <w:sz w:val="21"/>
                <w:szCs w:val="21"/>
                <w:highlight w:val="none"/>
                <w:lang w:val="en-US" w:eastAsia="zh-CN"/>
              </w:rPr>
              <w:t>建设2</w:t>
            </w:r>
          </w:p>
        </w:tc>
        <w:tc>
          <w:tcPr>
            <w:tcW w:w="2018" w:type="pc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铡草机</w:t>
            </w:r>
            <w:r>
              <w:rPr>
                <w:rFonts w:hint="eastAsia" w:cs="Times New Roman"/>
                <w:b w:val="0"/>
                <w:bCs w:val="0"/>
                <w:color w:val="auto"/>
                <w:kern w:val="0"/>
                <w:sz w:val="21"/>
                <w:szCs w:val="21"/>
                <w:highlight w:val="none"/>
                <w:lang w:val="en-US" w:eastAsia="zh-CN"/>
              </w:rPr>
              <w:t>1台、8米</w:t>
            </w:r>
            <w:r>
              <w:rPr>
                <w:rFonts w:hint="default" w:ascii="Times New Roman" w:hAnsi="Times New Roman" w:cs="Times New Roman"/>
                <w:b w:val="0"/>
                <w:bCs w:val="0"/>
                <w:color w:val="auto"/>
                <w:kern w:val="0"/>
                <w:sz w:val="21"/>
                <w:szCs w:val="21"/>
                <w:highlight w:val="none"/>
                <w:lang w:val="en-US" w:eastAsia="zh-CN"/>
              </w:rPr>
              <w:t>输送带</w:t>
            </w:r>
            <w:r>
              <w:rPr>
                <w:rFonts w:hint="eastAsia" w:cs="Times New Roman"/>
                <w:b w:val="0"/>
                <w:bCs w:val="0"/>
                <w:color w:val="auto"/>
                <w:kern w:val="0"/>
                <w:sz w:val="21"/>
                <w:szCs w:val="21"/>
                <w:highlight w:val="none"/>
                <w:lang w:val="en-US" w:eastAsia="zh-CN"/>
              </w:rPr>
              <w:t>1台、</w:t>
            </w:r>
            <w:r>
              <w:rPr>
                <w:rFonts w:hint="default" w:ascii="Times New Roman" w:hAnsi="Times New Roman" w:cs="Times New Roman"/>
                <w:b w:val="0"/>
                <w:bCs w:val="0"/>
                <w:color w:val="auto"/>
                <w:kern w:val="0"/>
                <w:sz w:val="21"/>
                <w:szCs w:val="21"/>
                <w:highlight w:val="none"/>
                <w:lang w:val="en-US" w:eastAsia="zh-CN"/>
              </w:rPr>
              <w:t>打包机</w:t>
            </w:r>
            <w:r>
              <w:rPr>
                <w:rFonts w:hint="eastAsia" w:cs="Times New Roman"/>
                <w:b w:val="0"/>
                <w:bCs w:val="0"/>
                <w:color w:val="auto"/>
                <w:kern w:val="0"/>
                <w:sz w:val="21"/>
                <w:szCs w:val="21"/>
                <w:highlight w:val="none"/>
                <w:lang w:val="en-US" w:eastAsia="zh-CN"/>
              </w:rPr>
              <w:t>1台、</w:t>
            </w:r>
            <w:r>
              <w:rPr>
                <w:rFonts w:hint="default" w:ascii="Times New Roman" w:hAnsi="Times New Roman" w:cs="Times New Roman"/>
                <w:b w:val="0"/>
                <w:bCs w:val="0"/>
                <w:color w:val="auto"/>
                <w:kern w:val="0"/>
                <w:sz w:val="21"/>
                <w:szCs w:val="21"/>
                <w:highlight w:val="none"/>
                <w:lang w:val="en-US" w:eastAsia="zh-CN"/>
              </w:rPr>
              <w:t>分料器</w:t>
            </w:r>
            <w:r>
              <w:rPr>
                <w:rFonts w:hint="eastAsia" w:cs="Times New Roman"/>
                <w:b w:val="0"/>
                <w:bCs w:val="0"/>
                <w:color w:val="auto"/>
                <w:kern w:val="0"/>
                <w:sz w:val="21"/>
                <w:szCs w:val="21"/>
                <w:highlight w:val="none"/>
                <w:lang w:val="en-US" w:eastAsia="zh-CN"/>
              </w:rPr>
              <w:t>1台、10米</w:t>
            </w:r>
            <w:r>
              <w:rPr>
                <w:rFonts w:hint="default" w:ascii="Times New Roman" w:hAnsi="Times New Roman" w:cs="Times New Roman"/>
                <w:b w:val="0"/>
                <w:bCs w:val="0"/>
                <w:color w:val="auto"/>
                <w:kern w:val="0"/>
                <w:sz w:val="21"/>
                <w:szCs w:val="21"/>
                <w:highlight w:val="none"/>
                <w:lang w:val="en-US" w:eastAsia="zh-CN"/>
              </w:rPr>
              <w:t>装车输送带</w:t>
            </w:r>
            <w:r>
              <w:rPr>
                <w:rFonts w:hint="eastAsia" w:cs="Times New Roman"/>
                <w:b w:val="0"/>
                <w:bCs w:val="0"/>
                <w:color w:val="auto"/>
                <w:kern w:val="0"/>
                <w:sz w:val="21"/>
                <w:szCs w:val="21"/>
                <w:highlight w:val="none"/>
                <w:lang w:val="en-US" w:eastAsia="zh-CN"/>
              </w:rPr>
              <w:t>1台、</w:t>
            </w:r>
            <w:r>
              <w:rPr>
                <w:rFonts w:hint="default" w:ascii="Times New Roman" w:hAnsi="Times New Roman" w:cs="Times New Roman"/>
                <w:b w:val="0"/>
                <w:bCs w:val="0"/>
                <w:color w:val="auto"/>
                <w:kern w:val="0"/>
                <w:sz w:val="21"/>
                <w:szCs w:val="21"/>
                <w:highlight w:val="none"/>
                <w:lang w:val="en-US" w:eastAsia="zh-CN"/>
              </w:rPr>
              <w:t>立式全混合日粮饲料搅拌机</w:t>
            </w:r>
            <w:r>
              <w:rPr>
                <w:rFonts w:hint="eastAsia" w:cs="Times New Roman"/>
                <w:b w:val="0"/>
                <w:bCs w:val="0"/>
                <w:color w:val="auto"/>
                <w:kern w:val="0"/>
                <w:sz w:val="21"/>
                <w:szCs w:val="21"/>
                <w:highlight w:val="none"/>
                <w:lang w:val="en-US" w:eastAsia="zh-CN"/>
              </w:rPr>
              <w:t>(</w:t>
            </w:r>
            <w:r>
              <w:rPr>
                <w:rFonts w:hint="default" w:ascii="Times New Roman" w:hAnsi="Times New Roman" w:eastAsia="仿宋_GB2312" w:cs="Times New Roman"/>
                <w:color w:val="auto"/>
                <w:sz w:val="21"/>
                <w:szCs w:val="21"/>
                <w:lang w:val="en-US" w:eastAsia="zh-CN"/>
              </w:rPr>
              <w:t>TMR</w:t>
            </w:r>
            <w:r>
              <w:rPr>
                <w:rFonts w:hint="eastAsia" w:cs="Times New Roman"/>
                <w:b w:val="0"/>
                <w:bCs w:val="0"/>
                <w:color w:val="auto"/>
                <w:kern w:val="0"/>
                <w:sz w:val="21"/>
                <w:szCs w:val="21"/>
                <w:highlight w:val="none"/>
                <w:lang w:val="en-US" w:eastAsia="zh-CN"/>
              </w:rPr>
              <w:t>)1台、</w:t>
            </w:r>
            <w:r>
              <w:rPr>
                <w:rFonts w:hint="default" w:ascii="Times New Roman" w:hAnsi="Times New Roman" w:cs="Times New Roman"/>
                <w:b w:val="0"/>
                <w:bCs w:val="0"/>
                <w:color w:val="auto"/>
                <w:kern w:val="0"/>
                <w:sz w:val="21"/>
                <w:szCs w:val="21"/>
                <w:highlight w:val="none"/>
                <w:lang w:val="en-US" w:eastAsia="zh-CN"/>
              </w:rPr>
              <w:t>装载机</w:t>
            </w:r>
            <w:r>
              <w:rPr>
                <w:rFonts w:hint="eastAsia" w:cs="Times New Roman"/>
                <w:b w:val="0"/>
                <w:bCs w:val="0"/>
                <w:color w:val="auto"/>
                <w:kern w:val="0"/>
                <w:sz w:val="21"/>
                <w:szCs w:val="21"/>
                <w:highlight w:val="none"/>
                <w:lang w:val="en-US" w:eastAsia="zh-CN"/>
              </w:rPr>
              <w:t>(ZL958)1台、</w:t>
            </w:r>
            <w:r>
              <w:rPr>
                <w:rFonts w:hint="default" w:ascii="Times New Roman" w:hAnsi="Times New Roman" w:cs="Times New Roman"/>
                <w:b w:val="0"/>
                <w:bCs w:val="0"/>
                <w:color w:val="auto"/>
                <w:kern w:val="0"/>
                <w:sz w:val="21"/>
                <w:szCs w:val="21"/>
                <w:highlight w:val="none"/>
                <w:lang w:val="en-US" w:eastAsia="zh-CN"/>
              </w:rPr>
              <w:t>铡草机（柴油版）</w:t>
            </w:r>
            <w:r>
              <w:rPr>
                <w:rFonts w:hint="eastAsia" w:cs="Times New Roman"/>
                <w:b w:val="0"/>
                <w:bCs w:val="0"/>
                <w:color w:val="auto"/>
                <w:kern w:val="0"/>
                <w:sz w:val="21"/>
                <w:szCs w:val="21"/>
                <w:highlight w:val="none"/>
                <w:lang w:val="en-US" w:eastAsia="zh-CN"/>
              </w:rPr>
              <w:t>(9Z-9A)1台、多功能饲料</w:t>
            </w:r>
            <w:r>
              <w:rPr>
                <w:rFonts w:hint="default" w:ascii="Times New Roman" w:hAnsi="Times New Roman" w:cs="Times New Roman"/>
                <w:b w:val="0"/>
                <w:bCs w:val="0"/>
                <w:color w:val="auto"/>
                <w:kern w:val="0"/>
                <w:sz w:val="21"/>
                <w:szCs w:val="21"/>
                <w:highlight w:val="none"/>
                <w:lang w:val="en-US" w:eastAsia="zh-CN"/>
              </w:rPr>
              <w:t>粉碎机</w:t>
            </w:r>
            <w:r>
              <w:rPr>
                <w:rFonts w:hint="eastAsia" w:cs="Times New Roman"/>
                <w:b w:val="0"/>
                <w:bCs w:val="0"/>
                <w:color w:val="auto"/>
                <w:kern w:val="0"/>
                <w:sz w:val="21"/>
                <w:szCs w:val="21"/>
                <w:highlight w:val="none"/>
                <w:lang w:val="en-US" w:eastAsia="zh-CN"/>
              </w:rPr>
              <w:t>(800型)1台、</w:t>
            </w:r>
            <w:r>
              <w:rPr>
                <w:rFonts w:hint="default" w:ascii="Times New Roman" w:hAnsi="Times New Roman" w:cs="Times New Roman"/>
                <w:b w:val="0"/>
                <w:bCs w:val="0"/>
                <w:color w:val="auto"/>
                <w:kern w:val="0"/>
                <w:sz w:val="21"/>
                <w:szCs w:val="21"/>
                <w:highlight w:val="none"/>
                <w:lang w:val="en-US" w:eastAsia="zh-CN"/>
              </w:rPr>
              <w:t>出料螺旋提升机</w:t>
            </w:r>
            <w:r>
              <w:rPr>
                <w:rFonts w:hint="eastAsia" w:cs="Times New Roman"/>
                <w:b w:val="0"/>
                <w:bCs w:val="0"/>
                <w:color w:val="auto"/>
                <w:kern w:val="0"/>
                <w:sz w:val="21"/>
                <w:szCs w:val="21"/>
                <w:highlight w:val="none"/>
                <w:lang w:val="en-US" w:eastAsia="zh-CN"/>
              </w:rPr>
              <w:t>1台、</w:t>
            </w:r>
            <w:r>
              <w:rPr>
                <w:rFonts w:hint="default" w:ascii="Times New Roman" w:hAnsi="Times New Roman" w:cs="Times New Roman"/>
                <w:b w:val="0"/>
                <w:bCs w:val="0"/>
                <w:color w:val="auto"/>
                <w:kern w:val="0"/>
                <w:sz w:val="21"/>
                <w:szCs w:val="21"/>
                <w:highlight w:val="none"/>
                <w:lang w:val="en-US" w:eastAsia="zh-CN"/>
              </w:rPr>
              <w:t>饲料粉碎机</w:t>
            </w:r>
            <w:r>
              <w:rPr>
                <w:rFonts w:hint="eastAsia" w:cs="Times New Roman"/>
                <w:b w:val="0"/>
                <w:bCs w:val="0"/>
                <w:color w:val="auto"/>
                <w:kern w:val="0"/>
                <w:sz w:val="21"/>
                <w:szCs w:val="21"/>
                <w:highlight w:val="none"/>
                <w:lang w:val="en-US" w:eastAsia="zh-CN"/>
              </w:rPr>
              <w:t>（9HLP-2000）1台、</w:t>
            </w:r>
            <w:r>
              <w:rPr>
                <w:rFonts w:hint="default" w:ascii="Times New Roman" w:hAnsi="Times New Roman" w:cs="Times New Roman"/>
                <w:b w:val="0"/>
                <w:bCs w:val="0"/>
                <w:color w:val="auto"/>
                <w:kern w:val="0"/>
                <w:sz w:val="21"/>
                <w:szCs w:val="21"/>
                <w:highlight w:val="none"/>
                <w:lang w:val="en-US" w:eastAsia="zh-CN"/>
              </w:rPr>
              <w:t>卧式混合机</w:t>
            </w:r>
            <w:r>
              <w:rPr>
                <w:rFonts w:hint="eastAsia" w:cs="Times New Roman"/>
                <w:b w:val="0"/>
                <w:bCs w:val="0"/>
                <w:color w:val="auto"/>
                <w:kern w:val="0"/>
                <w:sz w:val="21"/>
                <w:szCs w:val="21"/>
                <w:highlight w:val="none"/>
                <w:lang w:val="en-US" w:eastAsia="zh-CN"/>
              </w:rPr>
              <w:t>1台、</w:t>
            </w:r>
            <w:r>
              <w:rPr>
                <w:rFonts w:hint="default" w:ascii="Times New Roman" w:hAnsi="Times New Roman" w:cs="Times New Roman"/>
                <w:b w:val="0"/>
                <w:bCs w:val="0"/>
                <w:color w:val="auto"/>
                <w:kern w:val="0"/>
                <w:sz w:val="21"/>
                <w:szCs w:val="21"/>
                <w:highlight w:val="none"/>
                <w:lang w:val="en-US" w:eastAsia="zh-CN"/>
              </w:rPr>
              <w:t>螺旋输送机</w:t>
            </w:r>
            <w:r>
              <w:rPr>
                <w:rFonts w:hint="eastAsia" w:cs="Times New Roman"/>
                <w:b w:val="0"/>
                <w:bCs w:val="0"/>
                <w:color w:val="auto"/>
                <w:kern w:val="0"/>
                <w:sz w:val="21"/>
                <w:szCs w:val="21"/>
                <w:highlight w:val="none"/>
                <w:lang w:val="en-US" w:eastAsia="zh-CN"/>
              </w:rPr>
              <w:t>2台、</w:t>
            </w:r>
            <w:r>
              <w:rPr>
                <w:rFonts w:hint="default" w:ascii="Times New Roman" w:hAnsi="Times New Roman" w:cs="Times New Roman"/>
                <w:b w:val="0"/>
                <w:bCs w:val="0"/>
                <w:color w:val="auto"/>
                <w:kern w:val="0"/>
                <w:sz w:val="21"/>
                <w:szCs w:val="21"/>
                <w:highlight w:val="none"/>
                <w:lang w:val="en-US" w:eastAsia="zh-CN"/>
              </w:rPr>
              <w:t>一拖一给料仓</w:t>
            </w:r>
            <w:r>
              <w:rPr>
                <w:rFonts w:hint="eastAsia" w:cs="Times New Roman"/>
                <w:b w:val="0"/>
                <w:bCs w:val="0"/>
                <w:color w:val="auto"/>
                <w:kern w:val="0"/>
                <w:sz w:val="21"/>
                <w:szCs w:val="21"/>
                <w:highlight w:val="none"/>
                <w:lang w:val="en-US" w:eastAsia="zh-CN"/>
              </w:rPr>
              <w:t>1台、</w:t>
            </w:r>
            <w:r>
              <w:rPr>
                <w:rFonts w:hint="default" w:ascii="Times New Roman" w:hAnsi="Times New Roman" w:cs="Times New Roman"/>
                <w:b w:val="0"/>
                <w:bCs w:val="0"/>
                <w:color w:val="auto"/>
                <w:kern w:val="0"/>
                <w:sz w:val="21"/>
                <w:szCs w:val="21"/>
                <w:highlight w:val="none"/>
                <w:lang w:val="en-US" w:eastAsia="zh-CN"/>
              </w:rPr>
              <w:t>饲料颗粒机</w:t>
            </w:r>
            <w:r>
              <w:rPr>
                <w:rFonts w:hint="eastAsia" w:cs="Times New Roman"/>
                <w:b w:val="0"/>
                <w:bCs w:val="0"/>
                <w:color w:val="auto"/>
                <w:kern w:val="0"/>
                <w:sz w:val="21"/>
                <w:szCs w:val="21"/>
                <w:highlight w:val="none"/>
                <w:lang w:val="en-US" w:eastAsia="zh-CN"/>
              </w:rPr>
              <w:t>(9PK-500)1台、10米</w:t>
            </w:r>
            <w:r>
              <w:rPr>
                <w:rFonts w:hint="default" w:ascii="Times New Roman" w:hAnsi="Times New Roman" w:cs="Times New Roman"/>
                <w:b w:val="0"/>
                <w:bCs w:val="0"/>
                <w:color w:val="auto"/>
                <w:kern w:val="0"/>
                <w:sz w:val="21"/>
                <w:szCs w:val="21"/>
                <w:highlight w:val="none"/>
                <w:lang w:val="en-US" w:eastAsia="zh-CN"/>
              </w:rPr>
              <w:t>裙边式输送机</w:t>
            </w:r>
            <w:r>
              <w:rPr>
                <w:rFonts w:hint="eastAsia" w:cs="Times New Roman"/>
                <w:b w:val="0"/>
                <w:bCs w:val="0"/>
                <w:color w:val="auto"/>
                <w:kern w:val="0"/>
                <w:sz w:val="21"/>
                <w:szCs w:val="21"/>
                <w:highlight w:val="none"/>
                <w:lang w:val="en-US" w:eastAsia="zh-CN"/>
              </w:rPr>
              <w:t>(SX-10)1台、</w:t>
            </w:r>
            <w:r>
              <w:rPr>
                <w:rFonts w:hint="default" w:ascii="Times New Roman" w:hAnsi="Times New Roman" w:cs="Times New Roman"/>
                <w:b w:val="0"/>
                <w:bCs w:val="0"/>
                <w:color w:val="auto"/>
                <w:kern w:val="0"/>
                <w:sz w:val="21"/>
                <w:szCs w:val="21"/>
                <w:highlight w:val="none"/>
                <w:lang w:val="en-US" w:eastAsia="zh-CN"/>
              </w:rPr>
              <w:t>逆流式冷却机</w:t>
            </w:r>
            <w:r>
              <w:rPr>
                <w:rFonts w:hint="eastAsia" w:cs="Times New Roman"/>
                <w:b w:val="0"/>
                <w:bCs w:val="0"/>
                <w:color w:val="auto"/>
                <w:kern w:val="0"/>
                <w:sz w:val="21"/>
                <w:szCs w:val="21"/>
                <w:highlight w:val="none"/>
                <w:lang w:val="en-US" w:eastAsia="zh-CN"/>
              </w:rPr>
              <w:t>1台、8米</w:t>
            </w:r>
            <w:r>
              <w:rPr>
                <w:rFonts w:hint="default" w:ascii="Times New Roman" w:hAnsi="Times New Roman" w:cs="Times New Roman"/>
                <w:b w:val="0"/>
                <w:bCs w:val="0"/>
                <w:color w:val="auto"/>
                <w:kern w:val="0"/>
                <w:sz w:val="21"/>
                <w:szCs w:val="21"/>
                <w:highlight w:val="none"/>
                <w:lang w:val="en-US" w:eastAsia="zh-CN"/>
              </w:rPr>
              <w:t>裙边式输送机</w:t>
            </w:r>
            <w:r>
              <w:rPr>
                <w:rFonts w:hint="eastAsia" w:cs="Times New Roman"/>
                <w:b w:val="0"/>
                <w:bCs w:val="0"/>
                <w:color w:val="auto"/>
                <w:kern w:val="0"/>
                <w:sz w:val="21"/>
                <w:szCs w:val="21"/>
                <w:highlight w:val="none"/>
                <w:lang w:val="en-US" w:eastAsia="zh-CN"/>
              </w:rPr>
              <w:t>(SX-8)1台、</w:t>
            </w:r>
            <w:r>
              <w:rPr>
                <w:rFonts w:hint="default" w:ascii="Times New Roman" w:hAnsi="Times New Roman" w:cs="Times New Roman"/>
                <w:b w:val="0"/>
                <w:bCs w:val="0"/>
                <w:color w:val="auto"/>
                <w:kern w:val="0"/>
                <w:sz w:val="21"/>
                <w:szCs w:val="21"/>
                <w:highlight w:val="none"/>
                <w:lang w:val="en-US" w:eastAsia="zh-CN"/>
              </w:rPr>
              <w:t>定量包装机</w:t>
            </w:r>
            <w:r>
              <w:rPr>
                <w:rFonts w:hint="eastAsia" w:cs="Times New Roman"/>
                <w:b w:val="0"/>
                <w:bCs w:val="0"/>
                <w:color w:val="auto"/>
                <w:kern w:val="0"/>
                <w:sz w:val="21"/>
                <w:szCs w:val="21"/>
                <w:highlight w:val="none"/>
                <w:lang w:val="en-US" w:eastAsia="zh-CN"/>
              </w:rPr>
              <w:t>1台、</w:t>
            </w:r>
            <w:r>
              <w:rPr>
                <w:rFonts w:hint="default" w:ascii="Times New Roman" w:hAnsi="Times New Roman" w:cs="Times New Roman"/>
                <w:b w:val="0"/>
                <w:bCs w:val="0"/>
                <w:color w:val="auto"/>
                <w:kern w:val="0"/>
                <w:sz w:val="21"/>
                <w:szCs w:val="21"/>
                <w:highlight w:val="none"/>
                <w:lang w:val="en-US" w:eastAsia="zh-CN"/>
              </w:rPr>
              <w:t>电控柜</w:t>
            </w:r>
            <w:r>
              <w:rPr>
                <w:rFonts w:hint="eastAsia" w:cs="Times New Roman"/>
                <w:b w:val="0"/>
                <w:bCs w:val="0"/>
                <w:color w:val="auto"/>
                <w:kern w:val="0"/>
                <w:sz w:val="21"/>
                <w:szCs w:val="21"/>
                <w:highlight w:val="none"/>
                <w:lang w:val="en-US" w:eastAsia="zh-CN"/>
              </w:rPr>
              <w:t>1台。</w:t>
            </w:r>
          </w:p>
        </w:tc>
        <w:tc>
          <w:tcPr>
            <w:tcW w:w="786" w:type="pc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47.69</w:t>
            </w:r>
          </w:p>
        </w:tc>
        <w:tc>
          <w:tcPr>
            <w:tcW w:w="535" w:type="pct"/>
            <w:tcBorders>
              <w:top w:val="single" w:color="auto" w:sz="4" w:space="0"/>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47.69</w:t>
            </w:r>
          </w:p>
        </w:tc>
        <w:tc>
          <w:tcPr>
            <w:tcW w:w="435" w:type="pct"/>
            <w:tcBorders>
              <w:top w:val="single" w:color="auto" w:sz="4" w:space="0"/>
              <w:left w:val="single" w:color="auto" w:sz="4" w:space="0"/>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369" w:type="pct"/>
            <w:vMerge w:val="continue"/>
            <w:tcBorders>
              <w:top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continue"/>
            <w:tcBorders>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20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lang w:val="en-US" w:eastAsia="zh-CN" w:bidi="ar-SA"/>
              </w:rPr>
            </w:pPr>
            <w:r>
              <w:rPr>
                <w:rFonts w:hint="default" w:ascii="Times New Roman" w:hAnsi="Times New Roman" w:cs="Times New Roman"/>
                <w:b w:val="0"/>
                <w:bCs w:val="0"/>
                <w:color w:val="auto"/>
                <w:kern w:val="0"/>
                <w:sz w:val="21"/>
                <w:szCs w:val="21"/>
                <w:lang w:val="en-US" w:eastAsia="zh-CN"/>
              </w:rPr>
              <w:t>小计</w:t>
            </w:r>
          </w:p>
        </w:tc>
        <w:tc>
          <w:tcPr>
            <w:tcW w:w="7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47.69</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47.69</w:t>
            </w:r>
          </w:p>
        </w:tc>
        <w:tc>
          <w:tcPr>
            <w:tcW w:w="435"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369" w:type="pct"/>
            <w:vMerge w:val="continue"/>
            <w:tcBorders>
              <w:top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p>
        </w:tc>
        <w:tc>
          <w:tcPr>
            <w:tcW w:w="853" w:type="pct"/>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lang w:val="en-US" w:eastAsia="zh-CN"/>
              </w:rPr>
              <w:t>秸秆</w:t>
            </w:r>
            <w:r>
              <w:rPr>
                <w:rFonts w:hint="eastAsia" w:cs="Times New Roman"/>
                <w:b w:val="0"/>
                <w:bCs w:val="0"/>
                <w:color w:val="auto"/>
                <w:kern w:val="0"/>
                <w:sz w:val="21"/>
                <w:szCs w:val="21"/>
                <w:highlight w:val="none"/>
                <w:lang w:val="en-US" w:eastAsia="zh-CN"/>
              </w:rPr>
              <w:t>收割配套设备</w:t>
            </w:r>
          </w:p>
        </w:tc>
        <w:tc>
          <w:tcPr>
            <w:tcW w:w="20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lang w:val="en-US" w:eastAsia="zh-CN"/>
              </w:rPr>
              <w:t>水稻收割打捆一体机</w:t>
            </w:r>
            <w:r>
              <w:rPr>
                <w:rFonts w:hint="eastAsia" w:cs="Times New Roman"/>
                <w:b w:val="0"/>
                <w:bCs w:val="0"/>
                <w:color w:val="auto"/>
                <w:kern w:val="0"/>
                <w:sz w:val="21"/>
                <w:szCs w:val="21"/>
                <w:highlight w:val="none"/>
                <w:lang w:val="en-US" w:eastAsia="zh-CN"/>
              </w:rPr>
              <w:t>(久保田888型)1台</w:t>
            </w:r>
          </w:p>
        </w:tc>
        <w:tc>
          <w:tcPr>
            <w:tcW w:w="7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lang w:val="en-US" w:eastAsia="zh-CN"/>
              </w:rPr>
              <w:t>4</w:t>
            </w:r>
            <w:r>
              <w:rPr>
                <w:rFonts w:hint="eastAsia" w:cs="Times New Roman"/>
                <w:b w:val="0"/>
                <w:bCs w:val="0"/>
                <w:color w:val="auto"/>
                <w:kern w:val="0"/>
                <w:sz w:val="21"/>
                <w:szCs w:val="21"/>
                <w:highlight w:val="none"/>
                <w:lang w:val="en-US" w:eastAsia="zh-CN"/>
              </w:rPr>
              <w:t>1</w:t>
            </w:r>
            <w:r>
              <w:rPr>
                <w:rFonts w:hint="default" w:ascii="Times New Roman" w:hAnsi="Times New Roman" w:cs="Times New Roman"/>
                <w:b w:val="0"/>
                <w:bCs w:val="0"/>
                <w:color w:val="auto"/>
                <w:kern w:val="0"/>
                <w:sz w:val="21"/>
                <w:szCs w:val="21"/>
                <w:highlight w:val="none"/>
                <w:lang w:val="en-US" w:eastAsia="zh-CN"/>
              </w:rPr>
              <w:t>.</w:t>
            </w:r>
            <w:r>
              <w:rPr>
                <w:rFonts w:hint="eastAsia" w:cs="Times New Roman"/>
                <w:b w:val="0"/>
                <w:bCs w:val="0"/>
                <w:color w:val="auto"/>
                <w:kern w:val="0"/>
                <w:sz w:val="21"/>
                <w:szCs w:val="21"/>
                <w:highlight w:val="none"/>
                <w:lang w:val="en-US" w:eastAsia="zh-CN"/>
              </w:rPr>
              <w:t>80</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lang w:val="en-US" w:eastAsia="zh-CN"/>
              </w:rPr>
              <w:t>4</w:t>
            </w:r>
            <w:r>
              <w:rPr>
                <w:rFonts w:hint="eastAsia" w:cs="Times New Roman"/>
                <w:b w:val="0"/>
                <w:bCs w:val="0"/>
                <w:color w:val="auto"/>
                <w:kern w:val="0"/>
                <w:sz w:val="21"/>
                <w:szCs w:val="21"/>
                <w:highlight w:val="none"/>
                <w:lang w:val="en-US" w:eastAsia="zh-CN"/>
              </w:rPr>
              <w:t>1</w:t>
            </w:r>
            <w:r>
              <w:rPr>
                <w:rFonts w:hint="default" w:ascii="Times New Roman" w:hAnsi="Times New Roman" w:cs="Times New Roman"/>
                <w:b w:val="0"/>
                <w:bCs w:val="0"/>
                <w:color w:val="auto"/>
                <w:kern w:val="0"/>
                <w:sz w:val="21"/>
                <w:szCs w:val="21"/>
                <w:highlight w:val="none"/>
                <w:lang w:val="en-US" w:eastAsia="zh-CN"/>
              </w:rPr>
              <w:t>.</w:t>
            </w:r>
            <w:r>
              <w:rPr>
                <w:rFonts w:hint="eastAsia" w:cs="Times New Roman"/>
                <w:b w:val="0"/>
                <w:bCs w:val="0"/>
                <w:color w:val="auto"/>
                <w:kern w:val="0"/>
                <w:sz w:val="21"/>
                <w:szCs w:val="21"/>
                <w:highlight w:val="none"/>
                <w:lang w:val="en-US" w:eastAsia="zh-CN"/>
              </w:rPr>
              <w:t>80</w:t>
            </w:r>
          </w:p>
        </w:tc>
        <w:tc>
          <w:tcPr>
            <w:tcW w:w="435"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369" w:type="pct"/>
            <w:vMerge w:val="continue"/>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lang w:val="en-US" w:eastAsia="zh-CN" w:bidi="ar-SA"/>
              </w:rPr>
            </w:pPr>
          </w:p>
        </w:tc>
        <w:tc>
          <w:tcPr>
            <w:tcW w:w="853" w:type="pct"/>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lang w:val="en-US" w:eastAsia="zh-CN" w:bidi="ar-SA"/>
              </w:rPr>
            </w:pPr>
          </w:p>
        </w:tc>
        <w:tc>
          <w:tcPr>
            <w:tcW w:w="20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lang w:val="en-US" w:eastAsia="zh-CN" w:bidi="ar-SA"/>
              </w:rPr>
            </w:pPr>
            <w:r>
              <w:rPr>
                <w:rFonts w:hint="default" w:ascii="Times New Roman" w:hAnsi="Times New Roman" w:cs="Times New Roman"/>
                <w:b w:val="0"/>
                <w:bCs w:val="0"/>
                <w:color w:val="auto"/>
                <w:kern w:val="0"/>
                <w:sz w:val="21"/>
                <w:szCs w:val="21"/>
                <w:lang w:val="en-US" w:eastAsia="zh-CN"/>
              </w:rPr>
              <w:t>小计</w:t>
            </w:r>
          </w:p>
        </w:tc>
        <w:tc>
          <w:tcPr>
            <w:tcW w:w="7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lang w:val="en-US" w:eastAsia="zh-CN" w:bidi="ar-SA"/>
              </w:rPr>
            </w:pPr>
            <w:r>
              <w:rPr>
                <w:rFonts w:hint="default" w:ascii="Times New Roman" w:hAnsi="Times New Roman" w:cs="Times New Roman"/>
                <w:b w:val="0"/>
                <w:bCs w:val="0"/>
                <w:color w:val="auto"/>
                <w:kern w:val="0"/>
                <w:sz w:val="21"/>
                <w:szCs w:val="21"/>
                <w:highlight w:val="none"/>
                <w:lang w:val="en-US" w:eastAsia="zh-CN"/>
              </w:rPr>
              <w:t>4</w:t>
            </w:r>
            <w:r>
              <w:rPr>
                <w:rFonts w:hint="eastAsia" w:cs="Times New Roman"/>
                <w:b w:val="0"/>
                <w:bCs w:val="0"/>
                <w:color w:val="auto"/>
                <w:kern w:val="0"/>
                <w:sz w:val="21"/>
                <w:szCs w:val="21"/>
                <w:highlight w:val="none"/>
                <w:lang w:val="en-US" w:eastAsia="zh-CN"/>
              </w:rPr>
              <w:t>1</w:t>
            </w:r>
            <w:r>
              <w:rPr>
                <w:rFonts w:hint="default" w:ascii="Times New Roman" w:hAnsi="Times New Roman" w:cs="Times New Roman"/>
                <w:b w:val="0"/>
                <w:bCs w:val="0"/>
                <w:color w:val="auto"/>
                <w:kern w:val="0"/>
                <w:sz w:val="21"/>
                <w:szCs w:val="21"/>
                <w:highlight w:val="none"/>
                <w:lang w:val="en-US" w:eastAsia="zh-CN"/>
              </w:rPr>
              <w:t>.</w:t>
            </w:r>
            <w:r>
              <w:rPr>
                <w:rFonts w:hint="eastAsia" w:cs="Times New Roman"/>
                <w:b w:val="0"/>
                <w:bCs w:val="0"/>
                <w:color w:val="auto"/>
                <w:kern w:val="0"/>
                <w:sz w:val="21"/>
                <w:szCs w:val="21"/>
                <w:highlight w:val="none"/>
                <w:lang w:val="en-US" w:eastAsia="zh-CN"/>
              </w:rPr>
              <w:t>80</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lang w:val="en-US" w:eastAsia="zh-CN" w:bidi="ar-SA"/>
              </w:rPr>
            </w:pPr>
            <w:r>
              <w:rPr>
                <w:rFonts w:hint="default" w:ascii="Times New Roman" w:hAnsi="Times New Roman" w:cs="Times New Roman"/>
                <w:b w:val="0"/>
                <w:bCs w:val="0"/>
                <w:color w:val="auto"/>
                <w:kern w:val="0"/>
                <w:sz w:val="21"/>
                <w:szCs w:val="21"/>
                <w:highlight w:val="none"/>
                <w:lang w:val="en-US" w:eastAsia="zh-CN"/>
              </w:rPr>
              <w:t>4</w:t>
            </w:r>
            <w:r>
              <w:rPr>
                <w:rFonts w:hint="eastAsia" w:cs="Times New Roman"/>
                <w:b w:val="0"/>
                <w:bCs w:val="0"/>
                <w:color w:val="auto"/>
                <w:kern w:val="0"/>
                <w:sz w:val="21"/>
                <w:szCs w:val="21"/>
                <w:highlight w:val="none"/>
                <w:lang w:val="en-US" w:eastAsia="zh-CN"/>
              </w:rPr>
              <w:t>1</w:t>
            </w:r>
            <w:r>
              <w:rPr>
                <w:rFonts w:hint="default" w:ascii="Times New Roman" w:hAnsi="Times New Roman" w:cs="Times New Roman"/>
                <w:b w:val="0"/>
                <w:bCs w:val="0"/>
                <w:color w:val="auto"/>
                <w:kern w:val="0"/>
                <w:sz w:val="21"/>
                <w:szCs w:val="21"/>
                <w:highlight w:val="none"/>
                <w:lang w:val="en-US" w:eastAsia="zh-CN"/>
              </w:rPr>
              <w:t>.</w:t>
            </w:r>
            <w:r>
              <w:rPr>
                <w:rFonts w:hint="eastAsia" w:cs="Times New Roman"/>
                <w:b w:val="0"/>
                <w:bCs w:val="0"/>
                <w:color w:val="auto"/>
                <w:kern w:val="0"/>
                <w:sz w:val="21"/>
                <w:szCs w:val="21"/>
                <w:highlight w:val="none"/>
                <w:lang w:val="en-US" w:eastAsia="zh-CN"/>
              </w:rPr>
              <w:t>80</w:t>
            </w:r>
          </w:p>
        </w:tc>
        <w:tc>
          <w:tcPr>
            <w:tcW w:w="435"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val="0"/>
                <w:bCs w:val="0"/>
                <w:color w:val="auto"/>
                <w:kern w:val="0"/>
                <w:sz w:val="21"/>
                <w:szCs w:val="21"/>
                <w:lang w:val="en-US" w:eastAsia="zh-CN" w:bidi="ar-SA"/>
              </w:rPr>
            </w:pPr>
            <w:r>
              <w:rPr>
                <w:rFonts w:hint="default" w:ascii="Times New Roman" w:hAnsi="Times New Roman" w:cs="Times New Roman"/>
                <w:b w:val="0"/>
                <w:bCs w:val="0"/>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37" w:hRule="atLeast"/>
          <w:jc w:val="center"/>
        </w:trPr>
        <w:tc>
          <w:tcPr>
            <w:tcW w:w="37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 xml:space="preserve"> 三                                                 </w:t>
            </w:r>
          </w:p>
        </w:tc>
        <w:tc>
          <w:tcPr>
            <w:tcW w:w="8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p>
        </w:tc>
        <w:tc>
          <w:tcPr>
            <w:tcW w:w="20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 xml:space="preserve"> 秸秆综合利用示范基地建设1个</w:t>
            </w:r>
          </w:p>
        </w:tc>
        <w:tc>
          <w:tcPr>
            <w:tcW w:w="7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435"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37" w:hRule="atLeast"/>
          <w:jc w:val="center"/>
        </w:trPr>
        <w:tc>
          <w:tcPr>
            <w:tcW w:w="37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 xml:space="preserve">四                                                   </w:t>
            </w:r>
          </w:p>
        </w:tc>
        <w:tc>
          <w:tcPr>
            <w:tcW w:w="8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p>
        </w:tc>
        <w:tc>
          <w:tcPr>
            <w:tcW w:w="20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宣传培训</w:t>
            </w:r>
          </w:p>
        </w:tc>
        <w:tc>
          <w:tcPr>
            <w:tcW w:w="7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435"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32" w:hRule="atLeast"/>
          <w:jc w:val="center"/>
        </w:trPr>
        <w:tc>
          <w:tcPr>
            <w:tcW w:w="122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 xml:space="preserve">      合计                                              </w:t>
            </w:r>
          </w:p>
        </w:tc>
        <w:tc>
          <w:tcPr>
            <w:tcW w:w="20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p>
        </w:tc>
        <w:tc>
          <w:tcPr>
            <w:tcW w:w="7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506.95</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490.00</w:t>
            </w:r>
          </w:p>
        </w:tc>
        <w:tc>
          <w:tcPr>
            <w:tcW w:w="435"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16.95</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right="0" w:rightChars="0"/>
        <w:jc w:val="left"/>
        <w:textAlignment w:val="auto"/>
        <w:outlineLvl w:val="1"/>
        <w:rPr>
          <w:rFonts w:hint="default" w:ascii="Times New Roman" w:hAnsi="Times New Roman" w:cs="Times New Roman"/>
        </w:rPr>
      </w:pPr>
      <w:r>
        <w:rPr>
          <w:rFonts w:hint="eastAsia" w:ascii="仿宋_GB2312" w:hAnsi="仿宋_GB2312" w:eastAsia="仿宋_GB2312" w:cs="仿宋_GB2312"/>
          <w:b/>
          <w:bCs/>
          <w:color w:val="auto"/>
          <w:sz w:val="28"/>
          <w:szCs w:val="28"/>
          <w:lang w:val="en-US" w:eastAsia="zh-CN"/>
        </w:rPr>
        <w:t>注：</w:t>
      </w:r>
      <w:r>
        <w:rPr>
          <w:rFonts w:hint="eastAsia" w:ascii="仿宋_GB2312" w:hAnsi="仿宋_GB2312" w:eastAsia="仿宋_GB2312" w:cs="仿宋_GB2312"/>
          <w:b/>
          <w:bCs/>
          <w:color w:val="auto"/>
          <w:sz w:val="24"/>
          <w:szCs w:val="24"/>
          <w:lang w:val="en-US" w:eastAsia="zh-CN"/>
        </w:rPr>
        <w:t>预算使用资金和数量最终以公开招投标采购的价格为准</w:t>
      </w:r>
      <w:r>
        <w:rPr>
          <w:rFonts w:hint="eastAsia" w:ascii="仿宋_GB2312" w:hAnsi="仿宋_GB2312" w:eastAsia="仿宋_GB2312" w:cs="仿宋_GB2312"/>
          <w:color w:val="000000"/>
          <w:sz w:val="24"/>
          <w:szCs w:val="24"/>
        </w:rPr>
        <w:t>（不可改变资金原有用途，调整范围不得超过</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0%），并按项目实际完成量和实际支出报账。</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right="0" w:rightChars="0" w:firstLine="640" w:firstLineChars="200"/>
        <w:jc w:val="left"/>
        <w:textAlignment w:val="auto"/>
        <w:outlineLvl w:val="1"/>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（四）项目招投标</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按照《贵州省财政厅 贵州省农业农村厅《关于提前下达2025年中央财政农业生态资源保护（地膜科学使用回收试点、农作物秸秆综合利用、渔业资源保护）资金的通知》黔财农〔2024〕194号文件要求使用资金，项目实行政府公开招投标采购。</w:t>
      </w:r>
    </w:p>
    <w:p>
      <w:pPr>
        <w:keepNext w:val="0"/>
        <w:keepLines w:val="0"/>
        <w:pageBreakBefore w:val="0"/>
        <w:widowControl/>
        <w:kinsoku/>
        <w:wordWrap/>
        <w:overflowPunct/>
        <w:topLinePunct/>
        <w:autoSpaceDE/>
        <w:autoSpaceDN w:val="0"/>
        <w:bidi w:val="0"/>
        <w:adjustRightInd w:val="0"/>
        <w:snapToGrid w:val="0"/>
        <w:spacing w:line="560" w:lineRule="exact"/>
        <w:ind w:firstLine="640" w:firstLineChars="200"/>
        <w:jc w:val="left"/>
        <w:textAlignment w:val="baseline"/>
        <w:outlineLvl w:val="0"/>
        <w:rPr>
          <w:rFonts w:hint="eastAsia" w:ascii="黑体" w:hAnsi="黑体" w:eastAsia="黑体" w:cs="黑体"/>
          <w:b w:val="0"/>
          <w:bCs w:val="0"/>
          <w:snapToGrid/>
          <w:sz w:val="32"/>
          <w:szCs w:val="32"/>
          <w:lang w:val="en-US" w:eastAsia="zh-CN"/>
        </w:rPr>
      </w:pPr>
      <w:r>
        <w:rPr>
          <w:rFonts w:hint="eastAsia" w:ascii="黑体" w:hAnsi="黑体" w:eastAsia="黑体" w:cs="黑体"/>
          <w:b w:val="0"/>
          <w:bCs w:val="0"/>
          <w:snapToGrid/>
          <w:sz w:val="32"/>
          <w:szCs w:val="32"/>
          <w:lang w:val="en-US" w:eastAsia="zh-CN"/>
        </w:rPr>
        <w:t>六、保障措施</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outlineLvl w:val="1"/>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（一）强化组织领导</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为确保项目有效运行，使项目建设发挥引导、带动、辐射的作用，成立由县分管领导任组长，县农业农村局、县财政局、发改局、生态环保局及镇（乡、街道）主要领导任副组长，县农业农村局、县财政局、发改局、生态环保局及镇（乡、街道）分管领导为成员的领导小组，领导小组下设办公室，办公室设在县农业农村局社会事务工作股，具体事务由赵朕同志负责。领导小组负责对项目实施的监督管理，乡镇负责指导督促完成本乡镇的项目目标任务，负责开展工作协调指导、查验项目建设内容、收集建设指标数据、汇总上报数据、审核建设任务指标、组织项目镇级验收等工作。</w:t>
      </w:r>
    </w:p>
    <w:p>
      <w:pPr>
        <w:pStyle w:val="15"/>
        <w:keepNext w:val="0"/>
        <w:keepLines w:val="0"/>
        <w:pageBreakBefore w:val="0"/>
        <w:widowControl/>
        <w:kinsoku/>
        <w:wordWrap/>
        <w:overflowPunct/>
        <w:topLinePunct w:val="0"/>
        <w:autoSpaceDE/>
        <w:autoSpaceDN/>
        <w:bidi w:val="0"/>
        <w:adjustRightInd/>
        <w:snapToGrid/>
        <w:spacing w:beforeAutospacing="0" w:afterAutospacing="0" w:line="560" w:lineRule="exact"/>
        <w:jc w:val="left"/>
        <w:textAlignment w:val="auto"/>
        <w:outlineLvl w:val="1"/>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（二）加强技术支撑</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加强技术服务体系建设，组建秸秆综合利用技术专家组，对项目实施过程提供技术指导。以县乡两级农技推广部门为平台，加强技术培训和指导，推广简便实用的秸秆综合利用技术。结合省内高校科研院所，开展秸秆综合利用关键技术研发，提高秸秆综合利用能力。</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（三）强化政策引领和宣传引导</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及时向社会宣传农作物秸秆综合利用模式，强化社会监督。通过多渠道、多层次、多角度开展秸秆综合利用宣传活动。同时也要大力宣传秸秆综合利用的扶持政策和典型利用模式，调动各级市场主体利用秸秆的积极性。</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（四）强化资金管理</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县农业农村局对项目实施重点环节进行监督检查，定期调度项目资金使用情况，及时掌握资金使用状况，确保项目资金合理高效使用。项目实施单位要按照有关资金管理要求，规范项目资金使用，保障资金安全，高效运行，发挥资金使用效率。</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（五）加强绩效考核评价</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实施完成以后，项目中标单位需提供第三方机构项目实施评估意见，项目实施单位根据第三方机构项目实施评估意见，按照财政项目支出绩效评价的有关要求，对目标完成和项目效果等进行绩效评价工作，推动工作高效开展。</w:t>
      </w:r>
    </w:p>
    <w:p>
      <w:pPr>
        <w:pStyle w:val="14"/>
        <w:keepNext w:val="0"/>
        <w:keepLines w:val="0"/>
        <w:pageBreakBefore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技术措施</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加强技术服务体系建设，成立绥阳县2025年农作物秸秆综合利用项目技术实施小组，对项目实施过程提供技术指导，加强技术培训和指导，探索秸秆综合利用模式技术。聘请省、市相关专家提供技术支持。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项目实施小组成员名单</w:t>
      </w:r>
    </w:p>
    <w:tbl>
      <w:tblPr>
        <w:tblStyle w:val="11"/>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3173"/>
        <w:gridCol w:w="1350"/>
        <w:gridCol w:w="262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b/>
                <w:bCs/>
                <w:color w:val="000000"/>
                <w:sz w:val="21"/>
                <w:szCs w:val="21"/>
                <w:vertAlign w:val="baseline"/>
                <w:lang w:val="en-US" w:eastAsia="zh-CN" w:bidi="ar-SA"/>
              </w:rPr>
            </w:pPr>
            <w:r>
              <w:rPr>
                <w:rFonts w:hint="eastAsia" w:ascii="仿宋" w:hAnsi="仿宋" w:eastAsia="仿宋" w:cs="仿宋"/>
                <w:b/>
                <w:bCs/>
                <w:color w:val="000000"/>
                <w:sz w:val="21"/>
                <w:szCs w:val="21"/>
                <w:vertAlign w:val="baseline"/>
                <w:lang w:val="en-US" w:eastAsia="zh-CN" w:bidi="ar-SA"/>
              </w:rPr>
              <w:t>姓  名</w:t>
            </w:r>
          </w:p>
        </w:tc>
        <w:tc>
          <w:tcPr>
            <w:tcW w:w="3173" w:type="dxa"/>
          </w:tcPr>
          <w:p>
            <w:pPr>
              <w:pStyle w:val="13"/>
              <w:keepNext w:val="0"/>
              <w:keepLines w:val="0"/>
              <w:pageBreakBefore w:val="0"/>
              <w:widowControl w:val="0"/>
              <w:kinsoku/>
              <w:wordWrap/>
              <w:topLinePunct w:val="0"/>
              <w:bidi w:val="0"/>
              <w:spacing w:line="560" w:lineRule="exact"/>
              <w:ind w:firstLine="422" w:firstLineChars="200"/>
              <w:jc w:val="both"/>
              <w:textAlignment w:val="auto"/>
              <w:rPr>
                <w:rFonts w:hint="default" w:ascii="仿宋" w:hAnsi="仿宋" w:eastAsia="仿宋" w:cs="仿宋"/>
                <w:b/>
                <w:bCs/>
                <w:color w:val="000000"/>
                <w:sz w:val="21"/>
                <w:szCs w:val="21"/>
                <w:vertAlign w:val="baseline"/>
                <w:lang w:val="en-US" w:eastAsia="zh-CN" w:bidi="ar-SA"/>
              </w:rPr>
            </w:pPr>
            <w:r>
              <w:rPr>
                <w:rFonts w:hint="eastAsia" w:ascii="仿宋" w:hAnsi="仿宋" w:eastAsia="仿宋" w:cs="仿宋"/>
                <w:b/>
                <w:bCs/>
                <w:color w:val="000000"/>
                <w:sz w:val="21"/>
                <w:szCs w:val="21"/>
                <w:vertAlign w:val="baseline"/>
                <w:lang w:val="en-US" w:eastAsia="zh-CN" w:bidi="ar-SA"/>
              </w:rPr>
              <w:t>单  位</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b/>
                <w:bCs/>
                <w:color w:val="000000"/>
                <w:sz w:val="21"/>
                <w:szCs w:val="21"/>
                <w:vertAlign w:val="baseline"/>
                <w:lang w:val="en-US" w:eastAsia="zh-CN" w:bidi="ar-SA"/>
              </w:rPr>
            </w:pPr>
            <w:r>
              <w:rPr>
                <w:rFonts w:hint="eastAsia" w:ascii="仿宋" w:hAnsi="仿宋" w:eastAsia="仿宋" w:cs="仿宋"/>
                <w:b/>
                <w:bCs/>
                <w:color w:val="000000"/>
                <w:sz w:val="21"/>
                <w:szCs w:val="21"/>
                <w:vertAlign w:val="baseline"/>
                <w:lang w:val="en-US" w:eastAsia="zh-CN" w:bidi="ar-SA"/>
              </w:rPr>
              <w:t>职务、职称</w:t>
            </w:r>
          </w:p>
        </w:tc>
        <w:tc>
          <w:tcPr>
            <w:tcW w:w="2620" w:type="dxa"/>
          </w:tcPr>
          <w:p>
            <w:pPr>
              <w:pStyle w:val="13"/>
              <w:keepNext w:val="0"/>
              <w:keepLines w:val="0"/>
              <w:pageBreakBefore w:val="0"/>
              <w:widowControl w:val="0"/>
              <w:kinsoku/>
              <w:wordWrap/>
              <w:topLinePunct w:val="0"/>
              <w:bidi w:val="0"/>
              <w:spacing w:line="560" w:lineRule="exact"/>
              <w:ind w:firstLine="632" w:firstLineChars="300"/>
              <w:jc w:val="both"/>
              <w:textAlignment w:val="auto"/>
              <w:rPr>
                <w:rFonts w:hint="default" w:ascii="仿宋" w:hAnsi="仿宋" w:eastAsia="仿宋" w:cs="仿宋"/>
                <w:b/>
                <w:bCs/>
                <w:color w:val="000000"/>
                <w:sz w:val="21"/>
                <w:szCs w:val="21"/>
                <w:vertAlign w:val="baseline"/>
                <w:lang w:val="en-US" w:eastAsia="zh-CN" w:bidi="ar-SA"/>
              </w:rPr>
            </w:pPr>
            <w:r>
              <w:rPr>
                <w:rFonts w:hint="eastAsia" w:ascii="仿宋" w:hAnsi="仿宋" w:eastAsia="仿宋" w:cs="仿宋"/>
                <w:b/>
                <w:bCs/>
                <w:color w:val="000000"/>
                <w:sz w:val="21"/>
                <w:szCs w:val="21"/>
                <w:vertAlign w:val="baseline"/>
                <w:lang w:val="en-US" w:eastAsia="zh-CN" w:bidi="ar-SA"/>
              </w:rPr>
              <w:t>工作职责</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b/>
                <w:bCs/>
                <w:color w:val="000000"/>
                <w:sz w:val="21"/>
                <w:szCs w:val="21"/>
                <w:vertAlign w:val="baseline"/>
                <w:lang w:val="en-US" w:eastAsia="zh-CN" w:bidi="ar-SA"/>
              </w:rPr>
            </w:pPr>
            <w:r>
              <w:rPr>
                <w:rFonts w:hint="eastAsia" w:ascii="仿宋" w:hAnsi="仿宋" w:eastAsia="仿宋" w:cs="仿宋"/>
                <w:b/>
                <w:bCs/>
                <w:color w:val="000000"/>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赵 朕</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县社会事务工作股</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股  长</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主持项目实施、工作协调和技术指导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王光敏</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县社会事务工作股</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高级农艺师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主持项目实施、制定方案、项目总结</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李复炜</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市农业农村局</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高级农艺师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项目监管，技术指导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贾宗宝</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县社会事务工作股</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助理农艺师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项目实施、技术指导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田雪柔</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县社会事务工作股</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助理农艺师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项目实施、技术指导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向春玲</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蒲场镇农业农村综合服务中心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杨国勇</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蒲场镇农业农村综合服务中心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吴洪林</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风华镇农业农村综合服务中心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吴小波</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风华镇农业农村综合服务中心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助理农艺师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 xml:space="preserve">示范点建设和技术指导 </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石  锐</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洋川街道农业农村综合服务中心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宋世炜</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旺草镇农业农村综合服务中心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吴朝均</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旺草镇农业农村综合服务中心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孔令楠</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温泉镇农业农村综合发展中心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卜  凡</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坪乐镇农业农村综合服务中心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主任、高师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汪大乾</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郑场镇农业农村综合服务中心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秦  浪</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青杠塘镇农业农村综合服务中心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李  聪</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太白镇农业农村综合服务中心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刘擎旗</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黄杨镇农业农村综合服务中心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刘均燕</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宽阔镇农业农村综合服务中心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王世波</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枧坝镇农业农村综合服务中心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卢  超</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枧坝镇农业农村综合服务中心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高级农艺师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赵  耀</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茅垭镇农业农村综合服务中心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 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雷开容</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茅垭镇农业农村综合服务中心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陈永超</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小关乡农业农村综合服务中心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史  畅</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小关乡农业农村综合服务中心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王付宇</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大路槽乡农业农村综合服务中心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主任</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865"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游  冲</w:t>
            </w:r>
          </w:p>
        </w:tc>
        <w:tc>
          <w:tcPr>
            <w:tcW w:w="3173"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大路槽乡农业农村综合服务中心</w:t>
            </w:r>
          </w:p>
        </w:tc>
        <w:tc>
          <w:tcPr>
            <w:tcW w:w="1350"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高级农艺师</w:t>
            </w:r>
          </w:p>
        </w:tc>
        <w:tc>
          <w:tcPr>
            <w:tcW w:w="2620" w:type="dxa"/>
          </w:tcPr>
          <w:p>
            <w:pPr>
              <w:pStyle w:val="13"/>
              <w:keepNext w:val="0"/>
              <w:keepLines w:val="0"/>
              <w:pageBreakBefore w:val="0"/>
              <w:widowControl w:val="0"/>
              <w:kinsoku/>
              <w:wordWrap/>
              <w:topLinePunct w:val="0"/>
              <w:bidi w:val="0"/>
              <w:spacing w:line="560" w:lineRule="exact"/>
              <w:jc w:val="both"/>
              <w:textAlignment w:val="auto"/>
              <w:rPr>
                <w:rFonts w:hint="eastAsia" w:ascii="仿宋" w:hAnsi="仿宋" w:eastAsia="仿宋" w:cs="仿宋"/>
                <w:color w:val="000000"/>
                <w:sz w:val="21"/>
                <w:szCs w:val="21"/>
                <w:vertAlign w:val="baseline"/>
                <w:lang w:val="en-US" w:eastAsia="zh-CN" w:bidi="ar-SA"/>
              </w:rPr>
            </w:pPr>
            <w:r>
              <w:rPr>
                <w:rFonts w:hint="eastAsia" w:ascii="仿宋" w:hAnsi="仿宋" w:eastAsia="仿宋" w:cs="仿宋"/>
                <w:color w:val="000000"/>
                <w:sz w:val="21"/>
                <w:szCs w:val="21"/>
                <w:vertAlign w:val="baseline"/>
                <w:lang w:val="en-US" w:eastAsia="zh-CN" w:bidi="ar-SA"/>
              </w:rPr>
              <w:t>示范建设管理和技术指导</w:t>
            </w:r>
          </w:p>
        </w:tc>
        <w:tc>
          <w:tcPr>
            <w:tcW w:w="733" w:type="dxa"/>
          </w:tcPr>
          <w:p>
            <w:pPr>
              <w:pStyle w:val="13"/>
              <w:keepNext w:val="0"/>
              <w:keepLines w:val="0"/>
              <w:pageBreakBefore w:val="0"/>
              <w:widowControl w:val="0"/>
              <w:kinsoku/>
              <w:wordWrap/>
              <w:topLinePunct w:val="0"/>
              <w:bidi w:val="0"/>
              <w:spacing w:line="560" w:lineRule="exact"/>
              <w:jc w:val="both"/>
              <w:textAlignment w:val="auto"/>
              <w:rPr>
                <w:rFonts w:hint="default" w:ascii="仿宋" w:hAnsi="仿宋" w:eastAsia="仿宋" w:cs="仿宋"/>
                <w:color w:val="000000"/>
                <w:sz w:val="21"/>
                <w:szCs w:val="21"/>
                <w:vertAlign w:val="baseline"/>
                <w:lang w:val="en-US" w:eastAsia="zh-CN" w:bidi="ar-SA"/>
              </w:rPr>
            </w:pPr>
          </w:p>
        </w:tc>
      </w:tr>
    </w:tbl>
    <w:p>
      <w:pPr>
        <w:keepNext w:val="0"/>
        <w:keepLines w:val="0"/>
        <w:pageBreakBefore w:val="0"/>
        <w:widowControl/>
        <w:kinsoku/>
        <w:wordWrap/>
        <w:overflowPunct/>
        <w:topLinePunct/>
        <w:autoSpaceDE/>
        <w:autoSpaceDN w:val="0"/>
        <w:bidi w:val="0"/>
        <w:adjustRightInd w:val="0"/>
        <w:snapToGrid w:val="0"/>
        <w:spacing w:line="560" w:lineRule="exact"/>
        <w:ind w:firstLine="640" w:firstLineChars="200"/>
        <w:jc w:val="left"/>
        <w:textAlignment w:val="baseline"/>
        <w:outlineLvl w:val="0"/>
        <w:rPr>
          <w:rFonts w:hint="default" w:ascii="黑体" w:hAnsi="黑体" w:eastAsia="黑体" w:cs="黑体"/>
          <w:b w:val="0"/>
          <w:bCs w:val="0"/>
          <w:snapToGrid/>
          <w:sz w:val="32"/>
          <w:szCs w:val="32"/>
          <w:lang w:val="en-US" w:eastAsia="zh-CN"/>
        </w:rPr>
      </w:pPr>
      <w:r>
        <w:rPr>
          <w:rFonts w:hint="eastAsia" w:ascii="黑体" w:hAnsi="黑体" w:eastAsia="黑体" w:cs="黑体"/>
          <w:b w:val="0"/>
          <w:bCs w:val="0"/>
          <w:snapToGrid/>
          <w:sz w:val="32"/>
          <w:szCs w:val="32"/>
          <w:lang w:val="en-US" w:eastAsia="zh-CN"/>
        </w:rPr>
        <w:t>七</w:t>
      </w:r>
      <w:r>
        <w:rPr>
          <w:rFonts w:hint="default" w:ascii="黑体" w:hAnsi="黑体" w:eastAsia="黑体" w:cs="黑体"/>
          <w:b w:val="0"/>
          <w:bCs w:val="0"/>
          <w:snapToGrid/>
          <w:sz w:val="32"/>
          <w:szCs w:val="32"/>
          <w:lang w:val="en-US" w:eastAsia="zh-CN"/>
        </w:rPr>
        <w:t>、效益分析</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default" w:ascii="楷体_GB2312" w:hAnsi="楷体_GB2312" w:eastAsia="楷体_GB2312" w:cs="楷体_GB2312"/>
          <w:b w:val="0"/>
          <w:bCs w:val="0"/>
          <w:color w:val="000000"/>
          <w:kern w:val="0"/>
          <w:sz w:val="32"/>
          <w:szCs w:val="32"/>
          <w:lang w:val="en-US" w:eastAsia="zh-CN" w:bidi="ar-SA"/>
        </w:rPr>
      </w:pPr>
      <w:r>
        <w:rPr>
          <w:rFonts w:hint="default" w:ascii="楷体_GB2312" w:hAnsi="楷体_GB2312" w:eastAsia="楷体_GB2312" w:cs="楷体_GB2312"/>
          <w:b w:val="0"/>
          <w:bCs w:val="0"/>
          <w:color w:val="000000"/>
          <w:kern w:val="0"/>
          <w:sz w:val="32"/>
          <w:szCs w:val="32"/>
          <w:lang w:val="en-US" w:eastAsia="zh-CN" w:bidi="ar-SA"/>
        </w:rPr>
        <w:t>（一）经济效益</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1.3</w:t>
      </w:r>
      <w:r>
        <w:rPr>
          <w:rFonts w:hint="default" w:ascii="仿宋_GB2312" w:hAnsi="仿宋_GB2312" w:eastAsia="仿宋_GB2312" w:cs="仿宋_GB2312"/>
          <w:lang w:val="en-US" w:eastAsia="zh-CN"/>
        </w:rPr>
        <w:t>0个秸秆村</w:t>
      </w:r>
      <w:r>
        <w:rPr>
          <w:rFonts w:hint="eastAsia" w:ascii="仿宋_GB2312" w:hAnsi="仿宋_GB2312" w:eastAsia="仿宋_GB2312" w:cs="仿宋_GB2312"/>
          <w:lang w:val="en-US" w:eastAsia="zh-CN"/>
        </w:rPr>
        <w:t>级</w:t>
      </w:r>
      <w:r>
        <w:rPr>
          <w:rFonts w:hint="default" w:ascii="仿宋_GB2312" w:hAnsi="仿宋_GB2312" w:eastAsia="仿宋_GB2312" w:cs="仿宋_GB2312"/>
          <w:lang w:val="en-US" w:eastAsia="zh-CN"/>
        </w:rPr>
        <w:t>收储点，实现每个</w:t>
      </w:r>
      <w:r>
        <w:rPr>
          <w:rFonts w:hint="eastAsia" w:ascii="仿宋_GB2312" w:hAnsi="仿宋_GB2312" w:eastAsia="仿宋_GB2312" w:cs="仿宋_GB2312"/>
          <w:lang w:val="en-US" w:eastAsia="zh-CN"/>
        </w:rPr>
        <w:t>回收</w:t>
      </w:r>
      <w:r>
        <w:rPr>
          <w:rFonts w:hint="default" w:ascii="仿宋_GB2312" w:hAnsi="仿宋_GB2312" w:eastAsia="仿宋_GB2312" w:cs="仿宋_GB2312"/>
          <w:lang w:val="en-US" w:eastAsia="zh-CN"/>
        </w:rPr>
        <w:t>点年收储秸秆</w:t>
      </w:r>
      <w:r>
        <w:rPr>
          <w:rFonts w:hint="eastAsia" w:ascii="仿宋_GB2312" w:hAnsi="仿宋_GB2312" w:eastAsia="仿宋_GB2312" w:cs="仿宋_GB2312"/>
          <w:lang w:val="en-US" w:eastAsia="zh-CN"/>
        </w:rPr>
        <w:t>能力达1</w:t>
      </w:r>
      <w:r>
        <w:rPr>
          <w:rFonts w:hint="default" w:ascii="仿宋_GB2312" w:hAnsi="仿宋_GB2312" w:eastAsia="仿宋_GB2312" w:cs="仿宋_GB2312"/>
          <w:lang w:val="en-US" w:eastAsia="zh-CN"/>
        </w:rPr>
        <w:t>000吨，可实现经济收入</w:t>
      </w:r>
      <w:r>
        <w:rPr>
          <w:rFonts w:hint="eastAsia" w:ascii="仿宋_GB2312" w:hAnsi="仿宋_GB2312" w:eastAsia="仿宋_GB2312" w:cs="仿宋_GB2312"/>
          <w:lang w:val="en-US" w:eastAsia="zh-CN"/>
        </w:rPr>
        <w:t>1500</w:t>
      </w:r>
      <w:r>
        <w:rPr>
          <w:rFonts w:hint="default" w:ascii="仿宋_GB2312" w:hAnsi="仿宋_GB2312" w:eastAsia="仿宋_GB2312" w:cs="仿宋_GB2312"/>
          <w:lang w:val="en-US" w:eastAsia="zh-CN"/>
        </w:rPr>
        <w:t>万元。</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2.</w:t>
      </w:r>
      <w:r>
        <w:rPr>
          <w:rFonts w:hint="default" w:ascii="仿宋_GB2312" w:hAnsi="仿宋_GB2312" w:eastAsia="仿宋_GB2312" w:cs="仿宋_GB2312"/>
          <w:lang w:val="en-US" w:eastAsia="zh-CN"/>
        </w:rPr>
        <w:t>秸秆饲料化可利用秸秆10万吨，其中秸秆颗粒饲料可利用秸秆4万吨，实现经济收入</w:t>
      </w:r>
      <w:r>
        <w:rPr>
          <w:rFonts w:hint="eastAsia" w:ascii="仿宋_GB2312" w:hAnsi="仿宋_GB2312" w:eastAsia="仿宋_GB2312" w:cs="仿宋_GB2312"/>
          <w:lang w:val="en-US" w:eastAsia="zh-CN"/>
        </w:rPr>
        <w:t>4000</w:t>
      </w:r>
      <w:r>
        <w:rPr>
          <w:rFonts w:hint="default" w:ascii="仿宋_GB2312" w:hAnsi="仿宋_GB2312" w:eastAsia="仿宋_GB2312" w:cs="仿宋_GB2312"/>
          <w:lang w:val="en-US" w:eastAsia="zh-CN"/>
        </w:rPr>
        <w:t>万元，青（黄）贮饲料可利用秸秆6万吨，实现经济收入3300万元。</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3.</w:t>
      </w:r>
      <w:r>
        <w:rPr>
          <w:rFonts w:hint="default" w:ascii="仿宋_GB2312" w:hAnsi="仿宋_GB2312" w:eastAsia="仿宋_GB2312" w:cs="仿宋_GB2312"/>
          <w:lang w:val="en-US" w:eastAsia="zh-CN"/>
        </w:rPr>
        <w:t>秸秆肥料化可利用秸秆3.5万吨，实现经济收入</w:t>
      </w:r>
      <w:r>
        <w:rPr>
          <w:rFonts w:hint="eastAsia" w:ascii="仿宋_GB2312" w:hAnsi="仿宋_GB2312" w:eastAsia="仿宋_GB2312" w:cs="仿宋_GB2312"/>
          <w:lang w:val="en-US" w:eastAsia="zh-CN"/>
        </w:rPr>
        <w:t>8000</w:t>
      </w:r>
      <w:r>
        <w:rPr>
          <w:rFonts w:hint="default" w:ascii="仿宋_GB2312" w:hAnsi="仿宋_GB2312" w:eastAsia="仿宋_GB2312" w:cs="仿宋_GB2312"/>
          <w:lang w:val="en-US" w:eastAsia="zh-CN"/>
        </w:rPr>
        <w:t>万元。可实现直接经济收入600万元。</w:t>
      </w:r>
      <w:r>
        <w:rPr>
          <w:rFonts w:hint="eastAsia" w:ascii="仿宋_GB2312" w:hAnsi="仿宋_GB2312" w:eastAsia="仿宋_GB2312" w:cs="仿宋_GB2312"/>
          <w:lang w:val="en-US" w:eastAsia="zh-CN"/>
        </w:rPr>
        <w:t>终上所述项目建设经济效益显著。</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default" w:ascii="楷体_GB2312" w:hAnsi="楷体_GB2312" w:eastAsia="楷体_GB2312" w:cs="楷体_GB2312"/>
          <w:b w:val="0"/>
          <w:bCs w:val="0"/>
          <w:color w:val="000000"/>
          <w:kern w:val="0"/>
          <w:sz w:val="32"/>
          <w:szCs w:val="32"/>
          <w:lang w:val="en-US" w:eastAsia="zh-CN" w:bidi="ar-SA"/>
        </w:rPr>
      </w:pPr>
      <w:r>
        <w:rPr>
          <w:rFonts w:hint="default" w:ascii="楷体_GB2312" w:hAnsi="楷体_GB2312" w:eastAsia="楷体_GB2312" w:cs="楷体_GB2312"/>
          <w:b w:val="0"/>
          <w:bCs w:val="0"/>
          <w:color w:val="000000"/>
          <w:kern w:val="0"/>
          <w:sz w:val="32"/>
          <w:szCs w:val="32"/>
          <w:lang w:val="en-US" w:eastAsia="zh-CN" w:bidi="ar-SA"/>
        </w:rPr>
        <w:t>（二）社会效益</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Times New Roman" w:hAnsi="Times New Roman" w:cs="Times New Roman"/>
          <w:lang w:val="en-US" w:eastAsia="zh-CN"/>
        </w:rPr>
      </w:pPr>
      <w:r>
        <w:rPr>
          <w:rFonts w:hint="default" w:ascii="仿宋_GB2312" w:hAnsi="仿宋_GB2312" w:eastAsia="仿宋_GB2312" w:cs="仿宋_GB2312"/>
          <w:lang w:val="en-US" w:eastAsia="zh-CN"/>
        </w:rPr>
        <w:t>通过项目的实施，</w:t>
      </w:r>
      <w:r>
        <w:rPr>
          <w:rFonts w:hint="eastAsia" w:ascii="仿宋_GB2312" w:hAnsi="仿宋_GB2312" w:eastAsia="仿宋_GB2312" w:cs="仿宋_GB2312"/>
          <w:lang w:val="en-US" w:eastAsia="zh-CN"/>
        </w:rPr>
        <w:t>3</w:t>
      </w:r>
      <w:r>
        <w:rPr>
          <w:rFonts w:hint="default" w:ascii="仿宋_GB2312" w:hAnsi="仿宋_GB2312" w:eastAsia="仿宋_GB2312" w:cs="仿宋_GB2312"/>
          <w:lang w:val="en-US" w:eastAsia="zh-CN"/>
        </w:rPr>
        <w:t>0个收储点可以收储1</w:t>
      </w:r>
      <w:r>
        <w:rPr>
          <w:rFonts w:hint="eastAsia" w:ascii="仿宋_GB2312" w:hAnsi="仿宋_GB2312" w:eastAsia="仿宋_GB2312" w:cs="仿宋_GB2312"/>
          <w:lang w:val="en-US" w:eastAsia="zh-CN"/>
        </w:rPr>
        <w:t>0万</w:t>
      </w:r>
      <w:r>
        <w:rPr>
          <w:rFonts w:hint="default" w:ascii="仿宋_GB2312" w:hAnsi="仿宋_GB2312" w:eastAsia="仿宋_GB2312" w:cs="仿宋_GB2312"/>
          <w:lang w:val="en-US" w:eastAsia="zh-CN"/>
        </w:rPr>
        <w:t>吨秸秆；每个收储点可以带动农户</w:t>
      </w:r>
      <w:r>
        <w:rPr>
          <w:rFonts w:hint="eastAsia" w:ascii="仿宋_GB2312" w:hAnsi="仿宋_GB2312" w:eastAsia="仿宋_GB2312" w:cs="仿宋_GB2312"/>
          <w:lang w:val="en-US" w:eastAsia="zh-CN"/>
        </w:rPr>
        <w:t>100</w:t>
      </w:r>
      <w:r>
        <w:rPr>
          <w:rFonts w:hint="default" w:ascii="仿宋_GB2312" w:hAnsi="仿宋_GB2312" w:eastAsia="仿宋_GB2312" w:cs="仿宋_GB2312"/>
          <w:lang w:val="en-US" w:eastAsia="zh-CN"/>
        </w:rPr>
        <w:t>余户，</w:t>
      </w:r>
      <w:r>
        <w:rPr>
          <w:rFonts w:hint="eastAsia" w:ascii="仿宋_GB2312" w:hAnsi="仿宋_GB2312" w:eastAsia="仿宋_GB2312" w:cs="仿宋_GB2312"/>
          <w:lang w:val="en-US" w:eastAsia="zh-CN"/>
        </w:rPr>
        <w:t>3</w:t>
      </w:r>
      <w:r>
        <w:rPr>
          <w:rFonts w:hint="default" w:ascii="仿宋_GB2312" w:hAnsi="仿宋_GB2312" w:eastAsia="仿宋_GB2312" w:cs="仿宋_GB2312"/>
          <w:lang w:val="en-US" w:eastAsia="zh-CN"/>
        </w:rPr>
        <w:t>0个收储点可带动</w:t>
      </w:r>
      <w:r>
        <w:rPr>
          <w:rFonts w:hint="eastAsia" w:ascii="仿宋_GB2312" w:hAnsi="仿宋_GB2312" w:eastAsia="仿宋_GB2312" w:cs="仿宋_GB2312"/>
          <w:lang w:val="en-US" w:eastAsia="zh-CN"/>
        </w:rPr>
        <w:t>3000</w:t>
      </w:r>
      <w:r>
        <w:rPr>
          <w:rFonts w:hint="default" w:ascii="仿宋_GB2312" w:hAnsi="仿宋_GB2312" w:eastAsia="仿宋_GB2312" w:cs="仿宋_GB2312"/>
          <w:lang w:val="en-US" w:eastAsia="zh-CN"/>
        </w:rPr>
        <w:t>户农户；每个收储点可带动稳定就业6人，</w:t>
      </w:r>
      <w:r>
        <w:rPr>
          <w:rFonts w:hint="eastAsia" w:ascii="仿宋_GB2312" w:hAnsi="仿宋_GB2312" w:eastAsia="仿宋_GB2312" w:cs="仿宋_GB2312"/>
          <w:lang w:val="en-US" w:eastAsia="zh-CN"/>
        </w:rPr>
        <w:t>30</w:t>
      </w:r>
      <w:r>
        <w:rPr>
          <w:rFonts w:hint="default" w:ascii="仿宋_GB2312" w:hAnsi="仿宋_GB2312" w:eastAsia="仿宋_GB2312" w:cs="仿宋_GB2312"/>
          <w:lang w:val="en-US" w:eastAsia="zh-CN"/>
        </w:rPr>
        <w:t>个收储点可带动稳定就业</w:t>
      </w:r>
      <w:r>
        <w:rPr>
          <w:rFonts w:hint="eastAsia" w:ascii="仿宋_GB2312" w:hAnsi="仿宋_GB2312" w:eastAsia="仿宋_GB2312" w:cs="仿宋_GB2312"/>
          <w:lang w:val="en-US" w:eastAsia="zh-CN"/>
        </w:rPr>
        <w:t>180</w:t>
      </w:r>
      <w:r>
        <w:rPr>
          <w:rFonts w:hint="default" w:ascii="仿宋_GB2312" w:hAnsi="仿宋_GB2312" w:eastAsia="仿宋_GB2312" w:cs="仿宋_GB2312"/>
          <w:lang w:val="en-US" w:eastAsia="zh-CN"/>
        </w:rPr>
        <w:t>人</w:t>
      </w:r>
      <w:r>
        <w:rPr>
          <w:rFonts w:hint="eastAsia" w:ascii="仿宋_GB2312" w:hAnsi="仿宋_GB2312" w:eastAsia="仿宋_GB2312" w:cs="仿宋_GB2312"/>
          <w:lang w:val="en-US" w:eastAsia="zh-CN"/>
        </w:rPr>
        <w:t>，</w:t>
      </w:r>
      <w:r>
        <w:rPr>
          <w:rFonts w:hint="default" w:ascii="仿宋_GB2312" w:hAnsi="仿宋_GB2312" w:eastAsia="仿宋_GB2312" w:cs="仿宋_GB2312"/>
          <w:lang w:val="en-US" w:eastAsia="zh-CN"/>
        </w:rPr>
        <w:t>带动区域内农户规范种植、规范处置农作物秸秆，集成配套技术，节约资源，降低养殖成本，增加效益，实现种植户、养殖户以及秸秆秸秆回收利用企业增收，同时带动和壮大村级集体经济，为乡村振兴工作提供</w:t>
      </w:r>
      <w:r>
        <w:rPr>
          <w:rFonts w:hint="default" w:ascii="Times New Roman" w:hAnsi="Times New Roman" w:cs="Times New Roman"/>
          <w:lang w:val="en-US" w:eastAsia="zh-CN"/>
        </w:rPr>
        <w:t>产业支撑。</w:t>
      </w:r>
      <w:r>
        <w:rPr>
          <w:rFonts w:hint="eastAsia" w:ascii="Times New Roman" w:hAnsi="Times New Roman" w:cs="Times New Roman"/>
          <w:lang w:val="en-US" w:eastAsia="zh-CN"/>
        </w:rPr>
        <w:t>社会效益显著。</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楷体_GB2312" w:hAnsi="楷体_GB2312" w:eastAsia="楷体_GB2312" w:cs="楷体_GB2312"/>
          <w:b w:val="0"/>
          <w:bCs w:val="0"/>
          <w:color w:val="000000"/>
          <w:kern w:val="0"/>
          <w:sz w:val="32"/>
          <w:szCs w:val="32"/>
          <w:lang w:val="en-US" w:eastAsia="zh-CN" w:bidi="ar-SA"/>
        </w:rPr>
      </w:pPr>
      <w:r>
        <w:rPr>
          <w:rFonts w:hint="eastAsia" w:ascii="楷体_GB2312" w:hAnsi="楷体_GB2312" w:eastAsia="楷体_GB2312" w:cs="楷体_GB2312"/>
          <w:b w:val="0"/>
          <w:bCs w:val="0"/>
          <w:color w:val="000000"/>
          <w:kern w:val="0"/>
          <w:sz w:val="32"/>
          <w:szCs w:val="32"/>
          <w:lang w:val="en-US" w:eastAsia="zh-CN" w:bidi="ar-SA"/>
        </w:rPr>
        <w:t>（三）生态效益</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通过《</w:t>
      </w:r>
      <w:r>
        <w:rPr>
          <w:rFonts w:hint="eastAsia" w:ascii="仿宋_GB2312" w:hAnsi="仿宋_GB2312" w:eastAsia="仿宋_GB2312" w:cs="仿宋_GB2312"/>
          <w:lang w:val="en-US" w:eastAsia="zh-CN"/>
        </w:rPr>
        <w:t>绥阳县2025年农作物秸秆综合利用建设项目》的实施，既解决了田间废弃物的利</w:t>
      </w:r>
      <w:r>
        <w:rPr>
          <w:rFonts w:hint="eastAsia" w:ascii="Times New Roman" w:hAnsi="Times New Roman" w:cs="Times New Roman"/>
          <w:lang w:val="en-US" w:eastAsia="zh-CN"/>
        </w:rPr>
        <w:t>用，减少了农业面源污染，保护了耕地质量，生态环境得到了保护，促进周围水土资源的合理利用和生态环境的良性循环，辐射带动全县生态循环农业的发展，生态效益较好。</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cs="Times New Roman"/>
          <w:lang w:val="en-US" w:eastAsia="zh-CN"/>
        </w:rPr>
      </w:pPr>
      <w:r>
        <w:rPr>
          <w:rFonts w:hint="eastAsia"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Times New Roman" w:hAnsi="Times New Roman" w:cs="Times New Roman"/>
          <w:lang w:val="en-US" w:eastAsia="zh-CN"/>
        </w:rPr>
      </w:pPr>
    </w:p>
    <w:p>
      <w:pPr>
        <w:pStyle w:val="14"/>
        <w:keepNext w:val="0"/>
        <w:keepLines w:val="0"/>
        <w:pageBreakBefore w:val="0"/>
        <w:kinsoku/>
        <w:wordWrap/>
        <w:overflowPunct/>
        <w:topLinePunct w:val="0"/>
        <w:autoSpaceDE/>
        <w:autoSpaceDN/>
        <w:bidi w:val="0"/>
        <w:adjustRightInd/>
        <w:snapToGrid/>
        <w:ind w:firstLine="640" w:firstLineChars="200"/>
        <w:textAlignment w:val="auto"/>
        <w:rPr>
          <w:rFonts w:hint="default" w:ascii="Times New Roman" w:hAnsi="Times New Roman" w:cs="Times New Roman"/>
          <w:b w:val="0"/>
          <w:bCs w:val="0"/>
          <w:lang w:val="en-US" w:eastAsia="zh-CN"/>
        </w:rPr>
      </w:pPr>
    </w:p>
    <w:sectPr>
      <w:headerReference r:id="rId5" w:type="default"/>
      <w:footerReference r:id="rId6" w:type="default"/>
      <w:pgSz w:w="11906" w:h="16838"/>
      <w:pgMar w:top="2098" w:right="1474" w:bottom="1984" w:left="158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EE1D1830-928E-4985-9F1D-AC5B883198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63241470-F7D6-406B-8764-DD4F021F974A}"/>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embedRegular r:id="rId3" w:fontKey="{3B2BFCAC-429D-4837-AEBC-88123DCA1222}"/>
  </w:font>
  <w:font w:name="楷体_GB2312">
    <w:panose1 w:val="02010609030101010101"/>
    <w:charset w:val="86"/>
    <w:family w:val="modern"/>
    <w:pitch w:val="default"/>
    <w:sig w:usb0="00000001" w:usb1="080E0000" w:usb2="00000000" w:usb3="00000000" w:csb0="00040000" w:csb1="00000000"/>
    <w:embedRegular r:id="rId4" w:fontKey="{3B00D1A4-FAFA-46CF-A424-45FB58DE575B}"/>
  </w:font>
  <w:font w:name="仿宋">
    <w:panose1 w:val="02010609060101010101"/>
    <w:charset w:val="86"/>
    <w:family w:val="auto"/>
    <w:pitch w:val="default"/>
    <w:sig w:usb0="800002BF" w:usb1="38CF7CFA" w:usb2="00000016" w:usb3="00000000" w:csb0="00040001" w:csb1="00000000"/>
    <w:embedRegular r:id="rId5" w:fontKey="{EA178345-136A-4720-918A-D9565759E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- 1 -</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- 1 -</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DA353"/>
    <w:multiLevelType w:val="singleLevel"/>
    <w:tmpl w:val="A5CDA353"/>
    <w:lvl w:ilvl="0" w:tentative="0">
      <w:start w:val="6"/>
      <w:numFmt w:val="chineseCounting"/>
      <w:suff w:val="nothing"/>
      <w:lvlText w:val="（%1）"/>
      <w:lvlJc w:val="left"/>
      <w:rPr>
        <w:rFonts w:hint="eastAsia"/>
      </w:rPr>
    </w:lvl>
  </w:abstractNum>
  <w:abstractNum w:abstractNumId="1">
    <w:nsid w:val="2B95D1AA"/>
    <w:multiLevelType w:val="singleLevel"/>
    <w:tmpl w:val="2B95D1AA"/>
    <w:lvl w:ilvl="0" w:tentative="0">
      <w:start w:val="1"/>
      <w:numFmt w:val="chineseCounting"/>
      <w:suff w:val="nothing"/>
      <w:lvlText w:val="（%1）"/>
      <w:lvlJc w:val="left"/>
      <w:rPr>
        <w:rFonts w:hint="eastAsia" w:ascii="楷体_GB2312" w:hAnsi="楷体_GB2312" w:eastAsia="楷体_GB2312" w:cs="楷体_GB2312"/>
        <w:b w:val="0"/>
        <w:bCs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2YzliMjlkNjZlOGI5NDVjODVjN2NmNzNhMTRkNDkifQ=="/>
    <w:docVar w:name="KSO_WPS_MARK_KEY" w:val="d3c50135-1247-422d-8735-397433438d7e"/>
  </w:docVars>
  <w:rsids>
    <w:rsidRoot w:val="00000000"/>
    <w:rsid w:val="0152776C"/>
    <w:rsid w:val="016D0042"/>
    <w:rsid w:val="022E31E6"/>
    <w:rsid w:val="032B6476"/>
    <w:rsid w:val="03775C4B"/>
    <w:rsid w:val="03875A9D"/>
    <w:rsid w:val="05746676"/>
    <w:rsid w:val="058A27FB"/>
    <w:rsid w:val="059837EB"/>
    <w:rsid w:val="05A02AC7"/>
    <w:rsid w:val="068A744F"/>
    <w:rsid w:val="07330075"/>
    <w:rsid w:val="0797664C"/>
    <w:rsid w:val="07CB2B57"/>
    <w:rsid w:val="07EC1CA1"/>
    <w:rsid w:val="0831084F"/>
    <w:rsid w:val="09464DFA"/>
    <w:rsid w:val="094C70C3"/>
    <w:rsid w:val="0A16551D"/>
    <w:rsid w:val="0A917CCA"/>
    <w:rsid w:val="0AD2092F"/>
    <w:rsid w:val="0B9319D4"/>
    <w:rsid w:val="0B9F48E7"/>
    <w:rsid w:val="0CB07770"/>
    <w:rsid w:val="0CF956B3"/>
    <w:rsid w:val="0D450E61"/>
    <w:rsid w:val="0D6F318F"/>
    <w:rsid w:val="0DEF3128"/>
    <w:rsid w:val="0DFC4600"/>
    <w:rsid w:val="0DFD34F9"/>
    <w:rsid w:val="0F134C17"/>
    <w:rsid w:val="0F407F32"/>
    <w:rsid w:val="0F957450"/>
    <w:rsid w:val="0FA25AF2"/>
    <w:rsid w:val="10357E4D"/>
    <w:rsid w:val="105069D0"/>
    <w:rsid w:val="106317C1"/>
    <w:rsid w:val="106A7C46"/>
    <w:rsid w:val="10CA18B3"/>
    <w:rsid w:val="1117669E"/>
    <w:rsid w:val="11BF435B"/>
    <w:rsid w:val="12844CB9"/>
    <w:rsid w:val="12A213D7"/>
    <w:rsid w:val="12AE76CF"/>
    <w:rsid w:val="130766FC"/>
    <w:rsid w:val="133108B1"/>
    <w:rsid w:val="13720668"/>
    <w:rsid w:val="14616156"/>
    <w:rsid w:val="14F8347B"/>
    <w:rsid w:val="156B35A8"/>
    <w:rsid w:val="15E12553"/>
    <w:rsid w:val="15E62322"/>
    <w:rsid w:val="161377E5"/>
    <w:rsid w:val="16525774"/>
    <w:rsid w:val="165B2F3A"/>
    <w:rsid w:val="16B77D8A"/>
    <w:rsid w:val="175E0F34"/>
    <w:rsid w:val="17EA3EE0"/>
    <w:rsid w:val="19886FFD"/>
    <w:rsid w:val="19964AEE"/>
    <w:rsid w:val="199E7F11"/>
    <w:rsid w:val="1A661210"/>
    <w:rsid w:val="1AA966CF"/>
    <w:rsid w:val="1ADE641E"/>
    <w:rsid w:val="1AF51BB0"/>
    <w:rsid w:val="1BA547CF"/>
    <w:rsid w:val="1C4131F2"/>
    <w:rsid w:val="1D117055"/>
    <w:rsid w:val="1D886851"/>
    <w:rsid w:val="1DC13FCB"/>
    <w:rsid w:val="1FAC02C3"/>
    <w:rsid w:val="1FD15DA9"/>
    <w:rsid w:val="1FDC6BF8"/>
    <w:rsid w:val="203C0463"/>
    <w:rsid w:val="20AC37BC"/>
    <w:rsid w:val="21035654"/>
    <w:rsid w:val="210C54E8"/>
    <w:rsid w:val="211C15DF"/>
    <w:rsid w:val="217B1982"/>
    <w:rsid w:val="21AF47B7"/>
    <w:rsid w:val="21C451C3"/>
    <w:rsid w:val="21FB7F58"/>
    <w:rsid w:val="235F318D"/>
    <w:rsid w:val="23B769A2"/>
    <w:rsid w:val="24003DC2"/>
    <w:rsid w:val="2417728C"/>
    <w:rsid w:val="243303BE"/>
    <w:rsid w:val="24F276CC"/>
    <w:rsid w:val="25270BB7"/>
    <w:rsid w:val="25825C7A"/>
    <w:rsid w:val="25A74283"/>
    <w:rsid w:val="25B37A71"/>
    <w:rsid w:val="25D02A3E"/>
    <w:rsid w:val="25D57D4B"/>
    <w:rsid w:val="25E17A24"/>
    <w:rsid w:val="26D9701C"/>
    <w:rsid w:val="272B140A"/>
    <w:rsid w:val="27665E47"/>
    <w:rsid w:val="27C27F3D"/>
    <w:rsid w:val="28F90716"/>
    <w:rsid w:val="296E3305"/>
    <w:rsid w:val="29BE367D"/>
    <w:rsid w:val="29EB56E3"/>
    <w:rsid w:val="2A193D21"/>
    <w:rsid w:val="2B676BA9"/>
    <w:rsid w:val="2B7F799F"/>
    <w:rsid w:val="2C2F0132"/>
    <w:rsid w:val="2C3D321C"/>
    <w:rsid w:val="2C684216"/>
    <w:rsid w:val="2C9F7BCD"/>
    <w:rsid w:val="2CD51841"/>
    <w:rsid w:val="2D314D33"/>
    <w:rsid w:val="2D62179B"/>
    <w:rsid w:val="2D8F7DB2"/>
    <w:rsid w:val="2E342143"/>
    <w:rsid w:val="2E5F7614"/>
    <w:rsid w:val="2E85109F"/>
    <w:rsid w:val="2E9A4D9C"/>
    <w:rsid w:val="2EB9754B"/>
    <w:rsid w:val="2EBF7F64"/>
    <w:rsid w:val="2ED968C3"/>
    <w:rsid w:val="2FBE0938"/>
    <w:rsid w:val="2FF83984"/>
    <w:rsid w:val="302838D8"/>
    <w:rsid w:val="3049057C"/>
    <w:rsid w:val="31B30E06"/>
    <w:rsid w:val="31BC459E"/>
    <w:rsid w:val="32001F16"/>
    <w:rsid w:val="324C01D0"/>
    <w:rsid w:val="325B3BB3"/>
    <w:rsid w:val="328868C2"/>
    <w:rsid w:val="3293788C"/>
    <w:rsid w:val="337575BE"/>
    <w:rsid w:val="34A82A6A"/>
    <w:rsid w:val="34EA455F"/>
    <w:rsid w:val="35902A1B"/>
    <w:rsid w:val="35BA0FAC"/>
    <w:rsid w:val="35D37B7A"/>
    <w:rsid w:val="36045B33"/>
    <w:rsid w:val="36C6531C"/>
    <w:rsid w:val="37A73BCA"/>
    <w:rsid w:val="38941AEB"/>
    <w:rsid w:val="395910CA"/>
    <w:rsid w:val="3A290B99"/>
    <w:rsid w:val="3B155C06"/>
    <w:rsid w:val="3B7154D7"/>
    <w:rsid w:val="3C2D489E"/>
    <w:rsid w:val="3C400AAD"/>
    <w:rsid w:val="3C897F0F"/>
    <w:rsid w:val="3C9A02BA"/>
    <w:rsid w:val="3D0575D8"/>
    <w:rsid w:val="3DCF01B5"/>
    <w:rsid w:val="3E343C9D"/>
    <w:rsid w:val="3E7A3FF6"/>
    <w:rsid w:val="3E833FCF"/>
    <w:rsid w:val="3F3F6B9C"/>
    <w:rsid w:val="3F7F2CFA"/>
    <w:rsid w:val="40182960"/>
    <w:rsid w:val="40337860"/>
    <w:rsid w:val="41200E85"/>
    <w:rsid w:val="41297546"/>
    <w:rsid w:val="41516E84"/>
    <w:rsid w:val="415D41B0"/>
    <w:rsid w:val="42286B06"/>
    <w:rsid w:val="429B024B"/>
    <w:rsid w:val="4326646F"/>
    <w:rsid w:val="43D32954"/>
    <w:rsid w:val="43EB2696"/>
    <w:rsid w:val="44820510"/>
    <w:rsid w:val="44857E88"/>
    <w:rsid w:val="44A96FDE"/>
    <w:rsid w:val="44D73713"/>
    <w:rsid w:val="461949A4"/>
    <w:rsid w:val="46543818"/>
    <w:rsid w:val="473B507D"/>
    <w:rsid w:val="47D90183"/>
    <w:rsid w:val="48A560A8"/>
    <w:rsid w:val="48C31503"/>
    <w:rsid w:val="490B41C9"/>
    <w:rsid w:val="4916351C"/>
    <w:rsid w:val="499C0769"/>
    <w:rsid w:val="49D852EE"/>
    <w:rsid w:val="4A0A0EA6"/>
    <w:rsid w:val="4A2C1F2C"/>
    <w:rsid w:val="4A6D341D"/>
    <w:rsid w:val="4A9D32CB"/>
    <w:rsid w:val="4BF425D5"/>
    <w:rsid w:val="4C211C2E"/>
    <w:rsid w:val="4C3C596A"/>
    <w:rsid w:val="4C997914"/>
    <w:rsid w:val="4D263D57"/>
    <w:rsid w:val="4D301632"/>
    <w:rsid w:val="4D5A3798"/>
    <w:rsid w:val="4E392AB7"/>
    <w:rsid w:val="4FC82E13"/>
    <w:rsid w:val="4FCC3EF9"/>
    <w:rsid w:val="50286A45"/>
    <w:rsid w:val="50736514"/>
    <w:rsid w:val="508D1967"/>
    <w:rsid w:val="50E33C7D"/>
    <w:rsid w:val="510B27C7"/>
    <w:rsid w:val="511F7566"/>
    <w:rsid w:val="51CC0902"/>
    <w:rsid w:val="525C1038"/>
    <w:rsid w:val="52A179C0"/>
    <w:rsid w:val="52DB29CF"/>
    <w:rsid w:val="533F1F43"/>
    <w:rsid w:val="54963EE9"/>
    <w:rsid w:val="54B46F10"/>
    <w:rsid w:val="5563713A"/>
    <w:rsid w:val="575C550F"/>
    <w:rsid w:val="57FA1A8D"/>
    <w:rsid w:val="586C3723"/>
    <w:rsid w:val="59EE5E12"/>
    <w:rsid w:val="5A737CAF"/>
    <w:rsid w:val="5B21787C"/>
    <w:rsid w:val="5B5075CB"/>
    <w:rsid w:val="5B555660"/>
    <w:rsid w:val="5B7E704A"/>
    <w:rsid w:val="5B813AB0"/>
    <w:rsid w:val="5BB51432"/>
    <w:rsid w:val="5C8B0B34"/>
    <w:rsid w:val="5CD5787C"/>
    <w:rsid w:val="5E2F405E"/>
    <w:rsid w:val="5E583727"/>
    <w:rsid w:val="5F285AE4"/>
    <w:rsid w:val="5F4C0C3F"/>
    <w:rsid w:val="5F9D79A4"/>
    <w:rsid w:val="5FEC1682"/>
    <w:rsid w:val="61E33ADD"/>
    <w:rsid w:val="62741471"/>
    <w:rsid w:val="627523B1"/>
    <w:rsid w:val="62CA7A39"/>
    <w:rsid w:val="631E222D"/>
    <w:rsid w:val="63B374DF"/>
    <w:rsid w:val="63C02548"/>
    <w:rsid w:val="63C93104"/>
    <w:rsid w:val="64E63CB6"/>
    <w:rsid w:val="65077E41"/>
    <w:rsid w:val="6528750D"/>
    <w:rsid w:val="654044EF"/>
    <w:rsid w:val="656A152F"/>
    <w:rsid w:val="65B33E9A"/>
    <w:rsid w:val="66010F6E"/>
    <w:rsid w:val="664F3CB5"/>
    <w:rsid w:val="66CB3640"/>
    <w:rsid w:val="66D35EB5"/>
    <w:rsid w:val="67001C36"/>
    <w:rsid w:val="673E29E9"/>
    <w:rsid w:val="679D4253"/>
    <w:rsid w:val="67A57F47"/>
    <w:rsid w:val="68673797"/>
    <w:rsid w:val="688E5BA5"/>
    <w:rsid w:val="6935052B"/>
    <w:rsid w:val="694B712E"/>
    <w:rsid w:val="69624723"/>
    <w:rsid w:val="697F123C"/>
    <w:rsid w:val="699B3816"/>
    <w:rsid w:val="69D32689"/>
    <w:rsid w:val="69E75A03"/>
    <w:rsid w:val="6BC56001"/>
    <w:rsid w:val="6C0446F9"/>
    <w:rsid w:val="6C1D26F4"/>
    <w:rsid w:val="6C47661B"/>
    <w:rsid w:val="6D2E412A"/>
    <w:rsid w:val="6D943809"/>
    <w:rsid w:val="6E17642C"/>
    <w:rsid w:val="6F374458"/>
    <w:rsid w:val="70040B47"/>
    <w:rsid w:val="704D31B5"/>
    <w:rsid w:val="706F0653"/>
    <w:rsid w:val="707D1B88"/>
    <w:rsid w:val="714042CB"/>
    <w:rsid w:val="72764159"/>
    <w:rsid w:val="73023B89"/>
    <w:rsid w:val="741E09A4"/>
    <w:rsid w:val="743415A6"/>
    <w:rsid w:val="74554253"/>
    <w:rsid w:val="74B37621"/>
    <w:rsid w:val="74F90479"/>
    <w:rsid w:val="75671015"/>
    <w:rsid w:val="762D3121"/>
    <w:rsid w:val="77E6598E"/>
    <w:rsid w:val="786B182E"/>
    <w:rsid w:val="78743289"/>
    <w:rsid w:val="78857244"/>
    <w:rsid w:val="78F37B88"/>
    <w:rsid w:val="79AE4C5C"/>
    <w:rsid w:val="79E226DA"/>
    <w:rsid w:val="7A2E6F55"/>
    <w:rsid w:val="7ACA53E2"/>
    <w:rsid w:val="7AE3558A"/>
    <w:rsid w:val="7AE909AA"/>
    <w:rsid w:val="7B4875D7"/>
    <w:rsid w:val="7B8F3F36"/>
    <w:rsid w:val="7B917CAE"/>
    <w:rsid w:val="7C914762"/>
    <w:rsid w:val="7CB016DA"/>
    <w:rsid w:val="7CE54755"/>
    <w:rsid w:val="7D3134F6"/>
    <w:rsid w:val="7E215319"/>
    <w:rsid w:val="7E2E4A6A"/>
    <w:rsid w:val="7E337682"/>
    <w:rsid w:val="7EDF0A03"/>
    <w:rsid w:val="7F7A462E"/>
    <w:rsid w:val="7F7F1E89"/>
    <w:rsid w:val="7F7F2C3F"/>
    <w:rsid w:val="BAAF9E63"/>
    <w:rsid w:val="BFBD6FBC"/>
    <w:rsid w:val="E8F9A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imes New Roman"/>
      <w:kern w:val="2"/>
      <w:sz w:val="32"/>
      <w:szCs w:val="32"/>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99"/>
    <w:pPr>
      <w:ind w:left="0" w:leftChars="0"/>
    </w:pPr>
    <w:rPr>
      <w:rFonts w:ascii="Times New Roman" w:hAnsi="Times New Roman"/>
    </w:rPr>
  </w:style>
  <w:style w:type="paragraph" w:styleId="3">
    <w:name w:val="annotation text"/>
    <w:basedOn w:val="1"/>
    <w:qFormat/>
    <w:uiPriority w:val="0"/>
    <w:pPr>
      <w:jc w:val="left"/>
    </w:pPr>
  </w:style>
  <w:style w:type="paragraph" w:styleId="4">
    <w:name w:val="Body Text"/>
    <w:basedOn w:val="1"/>
    <w:next w:val="5"/>
    <w:qFormat/>
    <w:uiPriority w:val="0"/>
    <w:pPr>
      <w:spacing w:before="157"/>
      <w:ind w:left="117"/>
    </w:pPr>
    <w:rPr>
      <w:rFonts w:ascii="宋体" w:hAnsi="宋体" w:eastAsia="宋体"/>
      <w:sz w:val="28"/>
      <w:szCs w:val="28"/>
    </w:rPr>
  </w:style>
  <w:style w:type="paragraph" w:styleId="5">
    <w:name w:val="Title"/>
    <w:basedOn w:val="1"/>
    <w:next w:val="1"/>
    <w:qFormat/>
    <w:uiPriority w:val="0"/>
    <w:pPr>
      <w:spacing w:line="240" w:lineRule="auto"/>
      <w:jc w:val="center"/>
      <w:outlineLvl w:val="0"/>
    </w:pPr>
    <w:rPr>
      <w:rFonts w:ascii="Cambria" w:hAnsi="Cambria" w:eastAsia="黑体" w:cs="Times New Roman"/>
      <w:b/>
      <w:bCs/>
      <w:sz w:val="44"/>
      <w:szCs w:val="32"/>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next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List"/>
    <w:basedOn w:val="1"/>
    <w:next w:val="9"/>
    <w:qFormat/>
    <w:uiPriority w:val="0"/>
    <w:pPr>
      <w:adjustRightInd w:val="0"/>
      <w:spacing w:line="360" w:lineRule="atLeast"/>
      <w:ind w:left="420" w:hanging="420"/>
      <w:jc w:val="left"/>
    </w:pPr>
    <w:rPr>
      <w:rFonts w:hint="eastAsia" w:ascii="宋体"/>
      <w:kern w:val="0"/>
      <w:sz w:val="24"/>
    </w:rPr>
  </w:style>
  <w:style w:type="paragraph" w:customStyle="1" w:styleId="9">
    <w:name w:val="正文缩进4"/>
    <w:basedOn w:val="1"/>
    <w:next w:val="1"/>
    <w:qFormat/>
    <w:uiPriority w:val="0"/>
    <w:pPr>
      <w:widowControl w:val="0"/>
      <w:autoSpaceDE/>
      <w:autoSpaceDN/>
      <w:spacing w:before="0" w:after="0" w:line="240" w:lineRule="auto"/>
      <w:ind w:left="0" w:firstLine="420"/>
      <w:jc w:val="both"/>
    </w:pPr>
    <w:rPr>
      <w:rFonts w:ascii="Times New Roman" w:eastAsia="宋体"/>
      <w:sz w:val="21"/>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4">
    <w:name w:val="正文-公1"/>
    <w:basedOn w:val="1"/>
    <w:next w:val="15"/>
    <w:qFormat/>
    <w:uiPriority w:val="99"/>
    <w:pPr>
      <w:ind w:firstLine="200" w:firstLineChars="200"/>
    </w:pPr>
    <w:rPr>
      <w:rFonts w:ascii="Times New Roman" w:hAnsi="Times New Roman" w:cs="Times New Roman"/>
    </w:rPr>
  </w:style>
  <w:style w:type="paragraph" w:customStyle="1" w:styleId="15">
    <w:name w:val="普通(网站)1"/>
    <w:basedOn w:val="1"/>
    <w:next w:val="16"/>
    <w:qFormat/>
    <w:uiPriority w:val="99"/>
    <w:pPr>
      <w:widowControl/>
      <w:spacing w:beforeAutospacing="1" w:afterAutospacing="1" w:line="360" w:lineRule="auto"/>
      <w:jc w:val="left"/>
    </w:pPr>
    <w:rPr>
      <w:rFonts w:ascii="宋体" w:hAnsi="宋体" w:cs="宋体"/>
      <w:color w:val="000000"/>
      <w:kern w:val="0"/>
      <w:sz w:val="28"/>
      <w:szCs w:val="28"/>
    </w:rPr>
  </w:style>
  <w:style w:type="paragraph" w:customStyle="1" w:styleId="16">
    <w:name w:val="索引 91"/>
    <w:basedOn w:val="1"/>
    <w:next w:val="1"/>
    <w:qFormat/>
    <w:uiPriority w:val="99"/>
    <w:pPr>
      <w:ind w:left="1600" w:leftChars="1600"/>
    </w:pPr>
    <w:rPr>
      <w:rFonts w:ascii="Times New Roman" w:hAnsi="Times New Roman" w:cs="Times New Roman"/>
    </w:rPr>
  </w:style>
  <w:style w:type="paragraph" w:customStyle="1" w:styleId="17">
    <w:name w:val="正文文本1"/>
    <w:basedOn w:val="1"/>
    <w:qFormat/>
    <w:uiPriority w:val="0"/>
    <w:pPr>
      <w:shd w:val="clear" w:color="auto" w:fill="FFFFFF"/>
      <w:spacing w:before="420" w:line="547" w:lineRule="exact"/>
    </w:pPr>
    <w:rPr>
      <w:rFonts w:ascii="宋体" w:hAnsi="宋体" w:eastAsia="宋体" w:cs="宋体"/>
      <w:spacing w:val="20"/>
      <w:sz w:val="29"/>
      <w:szCs w:val="29"/>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6.pn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pn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pn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9502</Words>
  <Characters>11431</Characters>
  <Lines>0</Lines>
  <Paragraphs>0</Paragraphs>
  <TotalTime>36</TotalTime>
  <ScaleCrop>false</ScaleCrop>
  <LinksUpToDate>false</LinksUpToDate>
  <CharactersWithSpaces>11830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2025-01-08T11:10:00Z</dcterms:created>
  <dc:creator>jk123</dc:creator>
  <cp:lastModifiedBy>沐紫酱</cp:lastModifiedBy>
  <cp:lastPrinted>2025-05-24T08:33:00Z</cp:lastPrinted>
  <dcterms:modified xsi:type="dcterms:W3CDTF">2025-07-02T03:50:53Z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3A91AC9B166165FEBBAD64683E36BBF2</vt:lpwstr>
  </property>
  <property fmtid="{D5CDD505-2E9C-101B-9397-08002B2CF9AE}" pid="4" name="KSOTemplateDocerSaveRecord">
    <vt:lpwstr>eyJoZGlkIjoiMjEzYTUzMGVmMGJkYjBmZTYxNTNlMWU5MTU4OThlYjkiLCJ1c2VySWQiOiIyNjc3MjQ1NjMifQ==</vt:lpwstr>
  </property>
</Properties>
</file>