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2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color w:val="FF0000"/>
          <w:sz w:val="32"/>
          <w:szCs w:val="32"/>
        </w:rPr>
      </w:pPr>
    </w:p>
    <w:p w14:paraId="0B016680">
      <w:pPr>
        <w:keepNext w:val="0"/>
        <w:keepLines w:val="0"/>
        <w:pageBreakBefore w:val="0"/>
        <w:widowControl w:val="0"/>
        <w:kinsoku/>
        <w:wordWrap/>
        <w:overflowPunct/>
        <w:topLinePunct w:val="0"/>
        <w:autoSpaceDE/>
        <w:autoSpaceDN/>
        <w:bidi w:val="0"/>
        <w:adjustRightInd/>
        <w:snapToGrid/>
        <w:spacing w:beforeLines="50" w:afterLines="50" w:line="500" w:lineRule="exact"/>
        <w:jc w:val="center"/>
        <w:textAlignment w:val="auto"/>
        <w:rPr>
          <w:rFonts w:hint="eastAsia" w:ascii="方正小标宋简体" w:hAnsi="方正小标宋简体" w:eastAsia="方正小标宋简体" w:cs="方正小标宋简体"/>
          <w:b/>
          <w:bCs/>
          <w:color w:val="FF0000"/>
          <w:sz w:val="44"/>
          <w:szCs w:val="44"/>
        </w:rPr>
      </w:pPr>
      <w:r>
        <w:rPr>
          <w:rFonts w:hint="eastAsia" w:ascii="方正小标宋简体" w:hAnsi="方正小标宋简体" w:eastAsia="方正小标宋简体" w:cs="方正小标宋简体"/>
          <w:b/>
          <w:bCs/>
          <w:color w:val="FF0000"/>
          <w:sz w:val="44"/>
          <w:szCs w:val="44"/>
        </w:rPr>
        <w:t>绥阳县国民经济和社会发展</w:t>
      </w:r>
    </w:p>
    <w:p w14:paraId="36955321">
      <w:pPr>
        <w:keepNext w:val="0"/>
        <w:keepLines w:val="0"/>
        <w:pageBreakBefore w:val="0"/>
        <w:widowControl w:val="0"/>
        <w:kinsoku/>
        <w:wordWrap/>
        <w:overflowPunct/>
        <w:topLinePunct w:val="0"/>
        <w:autoSpaceDE/>
        <w:autoSpaceDN/>
        <w:bidi w:val="0"/>
        <w:adjustRightInd/>
        <w:snapToGrid/>
        <w:spacing w:beforeLines="50" w:afterLines="50" w:line="500" w:lineRule="exact"/>
        <w:jc w:val="center"/>
        <w:textAlignment w:val="auto"/>
        <w:rPr>
          <w:rFonts w:hint="eastAsia" w:ascii="方正小标宋简体" w:hAnsi="方正小标宋简体" w:eastAsia="方正小标宋简体" w:cs="方正小标宋简体"/>
          <w:b/>
          <w:bCs/>
          <w:color w:val="FF0000"/>
          <w:sz w:val="44"/>
          <w:szCs w:val="44"/>
        </w:rPr>
      </w:pPr>
      <w:r>
        <w:rPr>
          <w:rFonts w:hint="eastAsia" w:ascii="方正小标宋简体" w:hAnsi="方正小标宋简体" w:eastAsia="方正小标宋简体" w:cs="方正小标宋简体"/>
          <w:b/>
          <w:bCs/>
          <w:color w:val="FF0000"/>
          <w:sz w:val="44"/>
          <w:szCs w:val="44"/>
        </w:rPr>
        <w:t>第十四个五年规划和二〇三五年</w:t>
      </w:r>
    </w:p>
    <w:p w14:paraId="3A97D74A">
      <w:pPr>
        <w:keepNext w:val="0"/>
        <w:keepLines w:val="0"/>
        <w:pageBreakBefore w:val="0"/>
        <w:widowControl w:val="0"/>
        <w:kinsoku/>
        <w:wordWrap/>
        <w:overflowPunct/>
        <w:topLinePunct w:val="0"/>
        <w:autoSpaceDE/>
        <w:autoSpaceDN/>
        <w:bidi w:val="0"/>
        <w:adjustRightInd/>
        <w:snapToGrid/>
        <w:spacing w:beforeLines="50" w:afterLines="50" w:line="500" w:lineRule="exact"/>
        <w:jc w:val="center"/>
        <w:textAlignment w:val="auto"/>
        <w:rPr>
          <w:rFonts w:ascii="方正小标宋简体" w:hAnsi="方正小标宋简体" w:eastAsia="方正小标宋简体" w:cs="方正小标宋简体"/>
          <w:b/>
          <w:bCs/>
          <w:color w:val="FF0000"/>
          <w:sz w:val="44"/>
          <w:szCs w:val="44"/>
        </w:rPr>
      </w:pPr>
      <w:r>
        <w:rPr>
          <w:rFonts w:hint="eastAsia" w:ascii="方正小标宋简体" w:hAnsi="方正小标宋简体" w:eastAsia="方正小标宋简体" w:cs="方正小标宋简体"/>
          <w:b/>
          <w:bCs/>
          <w:color w:val="FF0000"/>
          <w:sz w:val="44"/>
          <w:szCs w:val="44"/>
        </w:rPr>
        <w:t>远景目标纲要</w:t>
      </w:r>
    </w:p>
    <w:p w14:paraId="146CC8FB">
      <w:pPr>
        <w:spacing w:beforeLines="50" w:afterLines="50" w:line="360" w:lineRule="auto"/>
        <w:jc w:val="center"/>
        <w:rPr>
          <w:rFonts w:ascii="黑体" w:hAnsi="黑体" w:eastAsia="黑体"/>
          <w:b/>
          <w:bCs/>
          <w:sz w:val="36"/>
          <w:szCs w:val="36"/>
        </w:rPr>
      </w:pPr>
    </w:p>
    <w:p w14:paraId="23884D39"/>
    <w:p w14:paraId="0595B056"/>
    <w:p w14:paraId="382EB322">
      <w:pPr>
        <w:pStyle w:val="2"/>
      </w:pPr>
    </w:p>
    <w:p w14:paraId="36BA8FD0"/>
    <w:p w14:paraId="0F168447">
      <w:pPr>
        <w:pStyle w:val="5"/>
        <w:ind w:left="640"/>
      </w:pPr>
    </w:p>
    <w:p w14:paraId="0BEA6F05"/>
    <w:p w14:paraId="1DA0EE8F">
      <w:pPr>
        <w:jc w:val="center"/>
        <w:rPr>
          <w:rFonts w:ascii="黑体" w:hAnsi="黑体" w:eastAsia="黑体"/>
          <w:color w:val="FF0000"/>
          <w:sz w:val="32"/>
          <w:szCs w:val="36"/>
        </w:rPr>
      </w:pPr>
      <w:r>
        <w:rPr>
          <w:rFonts w:hint="eastAsia" w:ascii="黑体" w:hAnsi="黑体" w:eastAsia="黑体"/>
          <w:color w:val="FF0000"/>
          <w:sz w:val="32"/>
          <w:szCs w:val="36"/>
        </w:rPr>
        <w:t>绥阳县人民政府</w:t>
      </w:r>
    </w:p>
    <w:p w14:paraId="4333FD68">
      <w:pPr>
        <w:jc w:val="center"/>
        <w:rPr>
          <w:rFonts w:hint="eastAsia" w:ascii="黑体" w:hAnsi="黑体" w:eastAsia="黑体"/>
          <w:color w:val="FF0000"/>
          <w:sz w:val="32"/>
          <w:szCs w:val="36"/>
        </w:rPr>
      </w:pPr>
      <w:r>
        <w:rPr>
          <w:rFonts w:hint="eastAsia" w:ascii="黑体" w:hAnsi="黑体" w:eastAsia="黑体"/>
          <w:color w:val="FF0000"/>
          <w:sz w:val="32"/>
          <w:szCs w:val="36"/>
          <w:lang w:eastAsia="zh-CN"/>
        </w:rPr>
        <w:t>二〇二一</w:t>
      </w:r>
      <w:r>
        <w:rPr>
          <w:rFonts w:hint="eastAsia" w:ascii="黑体" w:hAnsi="黑体" w:eastAsia="黑体"/>
          <w:color w:val="FF0000"/>
          <w:sz w:val="32"/>
          <w:szCs w:val="36"/>
        </w:rPr>
        <w:t>年</w:t>
      </w:r>
      <w:r>
        <w:rPr>
          <w:rFonts w:hint="eastAsia" w:ascii="黑体" w:hAnsi="黑体" w:eastAsia="黑体"/>
          <w:color w:val="FF0000"/>
          <w:sz w:val="32"/>
          <w:szCs w:val="36"/>
          <w:lang w:eastAsia="zh-CN"/>
        </w:rPr>
        <w:t>一</w:t>
      </w:r>
      <w:r>
        <w:rPr>
          <w:rFonts w:hint="eastAsia" w:ascii="黑体" w:hAnsi="黑体" w:eastAsia="黑体"/>
          <w:color w:val="FF0000"/>
          <w:sz w:val="32"/>
          <w:szCs w:val="36"/>
        </w:rPr>
        <w:t>月</w:t>
      </w:r>
    </w:p>
    <w:p w14:paraId="4EAA0CB7">
      <w:pPr>
        <w:pStyle w:val="2"/>
      </w:pPr>
    </w:p>
    <w:p w14:paraId="2A71B455">
      <w:pPr>
        <w:spacing w:line="580" w:lineRule="exact"/>
        <w:jc w:val="center"/>
        <w:rPr>
          <w:rFonts w:hint="eastAsia" w:ascii="黑体" w:hAnsi="黑体" w:eastAsia="黑体" w:cs="黑体"/>
          <w:b/>
          <w:bCs/>
          <w:sz w:val="32"/>
          <w:szCs w:val="32"/>
        </w:rPr>
        <w:sectPr>
          <w:headerReference r:id="rId4" w:type="first"/>
          <w:headerReference r:id="rId3" w:type="default"/>
          <w:pgSz w:w="8392" w:h="11850"/>
          <w:pgMar w:top="1247" w:right="879" w:bottom="1020" w:left="879" w:header="851" w:footer="992" w:gutter="0"/>
          <w:pgNumType w:fmt="numberInDash" w:start="1"/>
          <w:cols w:space="425" w:num="1"/>
          <w:titlePg/>
          <w:rtlGutter w:val="0"/>
          <w:docGrid w:type="lines" w:linePitch="456" w:charSpace="0"/>
        </w:sectPr>
      </w:pPr>
      <w:bookmarkStart w:id="0" w:name="_Toc25066"/>
      <w:bookmarkStart w:id="1" w:name="_Toc14273"/>
      <w:bookmarkStart w:id="2" w:name="_Toc16048"/>
      <w:bookmarkStart w:id="3" w:name="_Toc16125"/>
      <w:bookmarkStart w:id="4" w:name="_Toc11981"/>
      <w:bookmarkStart w:id="5" w:name="_Toc26261"/>
      <w:bookmarkStart w:id="6" w:name="_Toc8122"/>
      <w:bookmarkStart w:id="7" w:name="_Toc96"/>
      <w:bookmarkStart w:id="8" w:name="_Toc24851"/>
      <w:bookmarkStart w:id="9" w:name="_Toc28957"/>
    </w:p>
    <w:p w14:paraId="2DA9251E">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绥阳县第十七届人民代表大会第六次会议关于</w:t>
      </w:r>
    </w:p>
    <w:p w14:paraId="62399454">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绥阳县国民经济和社会发展第十四个五年</w:t>
      </w:r>
    </w:p>
    <w:p w14:paraId="2A18AC5F">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规划和二〇三五年远景目标</w:t>
      </w:r>
      <w:bookmarkStart w:id="87" w:name="_GoBack"/>
      <w:bookmarkEnd w:id="87"/>
      <w:r>
        <w:rPr>
          <w:rFonts w:hint="eastAsia" w:ascii="宋体" w:hAnsi="宋体" w:eastAsia="宋体" w:cs="宋体"/>
          <w:b/>
          <w:bCs/>
          <w:sz w:val="32"/>
          <w:szCs w:val="32"/>
        </w:rPr>
        <w:t>纲要的决议</w:t>
      </w:r>
    </w:p>
    <w:p w14:paraId="028F49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bCs/>
          <w:sz w:val="36"/>
          <w:szCs w:val="36"/>
        </w:rPr>
      </w:pPr>
    </w:p>
    <w:p w14:paraId="3CE72342">
      <w:pPr>
        <w:spacing w:line="580" w:lineRule="exact"/>
        <w:jc w:val="center"/>
        <w:rPr>
          <w:rFonts w:hint="eastAsia" w:ascii="楷体_GB2312" w:hAnsi="楷体_GB2312" w:eastAsia="楷体_GB2312" w:cs="楷体_GB2312"/>
          <w:b/>
          <w:bCs/>
          <w:sz w:val="25"/>
          <w:szCs w:val="25"/>
        </w:rPr>
      </w:pPr>
      <w:r>
        <w:rPr>
          <w:rFonts w:hint="eastAsia" w:ascii="楷体_GB2312" w:hAnsi="楷体_GB2312" w:eastAsia="楷体_GB2312" w:cs="楷体_GB2312"/>
          <w:b/>
          <w:bCs/>
          <w:sz w:val="25"/>
          <w:szCs w:val="25"/>
        </w:rPr>
        <w:t>（2021年1月14日县第十七届人大第六次会议通过）</w:t>
      </w:r>
    </w:p>
    <w:p w14:paraId="23769BBC">
      <w:pPr>
        <w:ind w:firstLine="560" w:firstLineChars="200"/>
        <w:rPr>
          <w:rFonts w:hint="eastAsia" w:ascii="仿宋" w:hAnsi="仿宋" w:eastAsia="仿宋" w:cs="仿宋"/>
          <w:szCs w:val="32"/>
        </w:rPr>
      </w:pPr>
    </w:p>
    <w:p w14:paraId="443664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绥阳县第十七届人民代表大会第六次会议审查了县人民政府提出的《绥阳县国民经济和社会发展第十四个五年规划和二O三五年远景目标纲要(草案)》。会议同意县十七届人民代表大会财政经济委员会的审查结果报告,决定批准《绥阳县国民经济和社会发展第十四个五年规划和二O三五年远景目标纲要》。</w:t>
      </w:r>
    </w:p>
    <w:p w14:paraId="553F24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会议认为,《绥阳县国民经济和社会发展第十四个五年规划和二O三五年远景目标纲要》全面贯彻党的十九大和十九届二中、三中、四中、五中全会、省委十二届八次全会、市委五届十次全会和县委十三届九次全会精神,是引领未来五年和今后一段时期全县经济社会发展的纲领性文件。《规划纲要》指导思想明确,目标任务具体,工作措施有力,符合县情实际,充分反映了全县人民的根本利益和加快发展的迫切愿望,经过全县上下共同努力完全可以实现。</w:t>
      </w:r>
    </w:p>
    <w:p w14:paraId="151670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会议指出,我县经济社会发展具有交通区位、资源禀赋、产业基础、干群齐心等方面优势,但仍然面临经济总量不大,产业结构不优,同城化发展滞后等主要问题和困难。我们要紧扣“五位一体”总体布局和“四个全面”战略布局,立足新发展阶段,贯彻新发展理念,抢抓新发展机遇,积极融入新发展格局,坚持稳中求进工作总基调,以高质量发展统揽全局,牢牢守好发展和生态两条底线,深入实施乡村振兴、大数据、大生态三大战略行动,大力推进新型工业化、新型城镇化、农业现代化、旅游产业化,持续巩固拓展脱贫攻坚成果,立足资源禀赋、发挥比较优势,推进“撤县设区”,全面融入遵义主城区、共建遵义都市圈、融入成渝地区双城经济圈,打造旅游康养集散地、交通物流集散地,构建新型产业发展体系、新型城镇化体系、新型社会治理体系,推动新型工业集聚区、旅游康养融合区、乡村振兴示范区、幸福宜居新城区建设,努力做到发展质量、结构、规模、速度、效益、安全相统一,实现绥阳跨越赶超。</w:t>
      </w:r>
    </w:p>
    <w:p w14:paraId="4EAE9B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会议号召,全县人民要高举中国特色社会主义伟大旗帜,以习近平新时代中国特色社会主义思想为指导,全面贯彻党的基本理论、基本路线、基本方略,深入贯彻习近平总书记视察贵州、遵义的讲话精神和市委对绥阳的工作要求,牢记嘱托、感恩奋进、锐意进取、开拓创新、扎实工作、苦干实干,为完成国民经济和社会发展第十四个五年规划和二O三五年远景目标、奋力建设和谐幸福美丽新绥阳而努力奋斗！</w:t>
      </w:r>
    </w:p>
    <w:p w14:paraId="033CF255">
      <w:pPr>
        <w:tabs>
          <w:tab w:val="center" w:pos="4153"/>
          <w:tab w:val="right" w:pos="8306"/>
        </w:tabs>
        <w:adjustRightInd w:val="0"/>
        <w:spacing w:line="600" w:lineRule="exact"/>
        <w:jc w:val="both"/>
        <w:outlineLvl w:val="1"/>
        <w:rPr>
          <w:rFonts w:hint="eastAsia" w:ascii="仿宋" w:hAnsi="仿宋" w:eastAsia="仿宋"/>
          <w:b/>
          <w:bCs/>
          <w:sz w:val="48"/>
          <w:szCs w:val="48"/>
        </w:rPr>
      </w:pPr>
    </w:p>
    <w:p w14:paraId="6F439316">
      <w:pPr>
        <w:rPr>
          <w:rFonts w:hint="eastAsia"/>
        </w:rPr>
        <w:sectPr>
          <w:headerReference r:id="rId5" w:type="first"/>
          <w:footerReference r:id="rId7" w:type="first"/>
          <w:footerReference r:id="rId6" w:type="default"/>
          <w:pgSz w:w="8392" w:h="11850"/>
          <w:pgMar w:top="1247" w:right="879" w:bottom="1020" w:left="879" w:header="851" w:footer="992" w:gutter="0"/>
          <w:pgNumType w:fmt="decimal" w:start="1"/>
          <w:cols w:space="425" w:num="1"/>
          <w:rtlGutter w:val="0"/>
          <w:docGrid w:type="lines" w:linePitch="456" w:charSpace="0"/>
        </w:sectPr>
      </w:pPr>
    </w:p>
    <w:p w14:paraId="1017D89C">
      <w:pPr>
        <w:tabs>
          <w:tab w:val="center" w:pos="4153"/>
          <w:tab w:val="right" w:pos="8306"/>
        </w:tabs>
        <w:adjustRightInd w:val="0"/>
        <w:spacing w:line="600" w:lineRule="exact"/>
        <w:jc w:val="center"/>
        <w:outlineLvl w:val="1"/>
        <w:rPr>
          <w:rFonts w:hint="eastAsia" w:ascii="仿宋" w:hAnsi="仿宋" w:eastAsia="仿宋"/>
          <w:b/>
          <w:bCs/>
          <w:sz w:val="24"/>
          <w:szCs w:val="24"/>
        </w:rPr>
      </w:pPr>
      <w:bookmarkStart w:id="10" w:name="_Toc9678"/>
      <w:r>
        <w:rPr>
          <w:rFonts w:hint="eastAsia" w:ascii="仿宋" w:hAnsi="仿宋" w:eastAsia="仿宋"/>
          <w:b/>
          <w:bCs/>
          <w:sz w:val="48"/>
          <w:szCs w:val="48"/>
        </w:rPr>
        <w:t>目  录</w:t>
      </w:r>
      <w:bookmarkEnd w:id="0"/>
      <w:bookmarkEnd w:id="1"/>
      <w:bookmarkEnd w:id="2"/>
      <w:bookmarkEnd w:id="3"/>
      <w:bookmarkEnd w:id="4"/>
      <w:bookmarkEnd w:id="5"/>
      <w:bookmarkEnd w:id="6"/>
      <w:bookmarkEnd w:id="7"/>
      <w:bookmarkEnd w:id="8"/>
      <w:bookmarkEnd w:id="9"/>
      <w:bookmarkEnd w:id="10"/>
    </w:p>
    <w:p w14:paraId="4EE71BCF"/>
    <w:sdt>
      <w:sdtPr>
        <w:rPr>
          <w:rFonts w:ascii="宋体" w:hAnsi="宋体" w:eastAsia="宋体" w:cstheme="minorBidi"/>
          <w:sz w:val="21"/>
          <w:szCs w:val="18"/>
        </w:rPr>
        <w:id w:val="147456198"/>
        <w:docPartObj>
          <w:docPartGallery w:val="Table of Contents"/>
          <w:docPartUnique/>
        </w:docPartObj>
      </w:sdtPr>
      <w:sdtEndPr>
        <w:rPr>
          <w:rFonts w:hint="eastAsia" w:ascii="仿宋" w:hAnsi="仿宋" w:eastAsia="仿宋" w:cstheme="minorBidi"/>
          <w:sz w:val="18"/>
          <w:szCs w:val="48"/>
        </w:rPr>
      </w:sdtEndPr>
      <w:sdtContent>
        <w:p w14:paraId="793F6596">
          <w:pPr>
            <w:pStyle w:val="11"/>
            <w:tabs>
              <w:tab w:val="right" w:leader="dot" w:pos="6634"/>
            </w:tabs>
            <w:jc w:val="distribute"/>
            <w:rPr>
              <w:rFonts w:hint="eastAsia" w:ascii="宋体" w:hAnsi="宋体" w:eastAsia="宋体" w:cs="宋体"/>
              <w:w w:val="95"/>
              <w:sz w:val="24"/>
              <w:szCs w:val="24"/>
            </w:rPr>
          </w:pPr>
          <w:r>
            <w:rPr>
              <w:rFonts w:hint="eastAsia" w:ascii="宋体" w:hAnsi="宋体" w:eastAsia="宋体" w:cs="宋体"/>
              <w:sz w:val="48"/>
              <w:szCs w:val="48"/>
            </w:rPr>
            <w:fldChar w:fldCharType="begin"/>
          </w:r>
          <w:r>
            <w:rPr>
              <w:rFonts w:hint="eastAsia" w:ascii="宋体" w:hAnsi="宋体" w:eastAsia="宋体" w:cs="宋体"/>
              <w:sz w:val="48"/>
              <w:szCs w:val="48"/>
            </w:rPr>
            <w:instrText xml:space="preserve">TOC \o "1-2" \h \u </w:instrText>
          </w:r>
          <w:r>
            <w:rPr>
              <w:rFonts w:hint="eastAsia" w:ascii="宋体" w:hAnsi="宋体" w:eastAsia="宋体" w:cs="宋体"/>
              <w:sz w:val="48"/>
              <w:szCs w:val="48"/>
            </w:rPr>
            <w:fldChar w:fldCharType="separate"/>
          </w:r>
          <w:r>
            <w:rPr>
              <w:rFonts w:hint="eastAsia" w:ascii="黑体" w:hAnsi="黑体" w:eastAsia="黑体" w:cs="黑体"/>
              <w:w w:val="95"/>
              <w:sz w:val="24"/>
              <w:szCs w:val="24"/>
            </w:rPr>
            <w:fldChar w:fldCharType="begin"/>
          </w:r>
          <w:r>
            <w:rPr>
              <w:rFonts w:hint="eastAsia" w:ascii="黑体" w:hAnsi="黑体" w:eastAsia="黑体" w:cs="黑体"/>
              <w:w w:val="95"/>
              <w:sz w:val="24"/>
              <w:szCs w:val="24"/>
            </w:rPr>
            <w:instrText xml:space="preserve"> HYPERLINK \l _Toc24094 </w:instrText>
          </w:r>
          <w:r>
            <w:rPr>
              <w:rFonts w:hint="eastAsia" w:ascii="黑体" w:hAnsi="黑体" w:eastAsia="黑体" w:cs="黑体"/>
              <w:w w:val="95"/>
              <w:sz w:val="24"/>
              <w:szCs w:val="24"/>
            </w:rPr>
            <w:fldChar w:fldCharType="separate"/>
          </w:r>
          <w:r>
            <w:rPr>
              <w:rFonts w:hint="eastAsia" w:ascii="黑体" w:hAnsi="黑体" w:eastAsia="黑体" w:cs="黑体"/>
              <w:bCs/>
              <w:w w:val="95"/>
              <w:sz w:val="24"/>
              <w:szCs w:val="24"/>
            </w:rPr>
            <w:t>第一章  “十三五”时期我县经济社会发展取得历史性成就</w:t>
          </w:r>
          <w:r>
            <w:rPr>
              <w:rFonts w:hint="eastAsia" w:ascii="黑体" w:hAnsi="黑体" w:eastAsia="黑体" w:cs="黑体"/>
              <w:w w:val="95"/>
              <w:sz w:val="24"/>
              <w:szCs w:val="24"/>
            </w:rPr>
            <w:tab/>
          </w:r>
          <w:r>
            <w:rPr>
              <w:rFonts w:hint="eastAsia" w:ascii="黑体" w:hAnsi="黑体" w:eastAsia="黑体" w:cs="黑体"/>
              <w:w w:val="95"/>
              <w:sz w:val="24"/>
              <w:szCs w:val="24"/>
            </w:rPr>
            <w:fldChar w:fldCharType="begin"/>
          </w:r>
          <w:r>
            <w:rPr>
              <w:rFonts w:hint="eastAsia" w:ascii="黑体" w:hAnsi="黑体" w:eastAsia="黑体" w:cs="黑体"/>
              <w:w w:val="95"/>
              <w:sz w:val="24"/>
              <w:szCs w:val="24"/>
            </w:rPr>
            <w:instrText xml:space="preserve"> PAGEREF _Toc24094 </w:instrText>
          </w:r>
          <w:r>
            <w:rPr>
              <w:rFonts w:hint="eastAsia" w:ascii="黑体" w:hAnsi="黑体" w:eastAsia="黑体" w:cs="黑体"/>
              <w:w w:val="95"/>
              <w:sz w:val="24"/>
              <w:szCs w:val="24"/>
            </w:rPr>
            <w:fldChar w:fldCharType="separate"/>
          </w:r>
          <w:r>
            <w:rPr>
              <w:rFonts w:hint="eastAsia" w:ascii="黑体" w:hAnsi="黑体" w:eastAsia="黑体" w:cs="黑体"/>
              <w:w w:val="95"/>
              <w:sz w:val="24"/>
              <w:szCs w:val="24"/>
            </w:rPr>
            <w:t>1</w:t>
          </w:r>
          <w:r>
            <w:rPr>
              <w:rFonts w:hint="eastAsia" w:ascii="黑体" w:hAnsi="黑体" w:eastAsia="黑体" w:cs="黑体"/>
              <w:w w:val="95"/>
              <w:sz w:val="24"/>
              <w:szCs w:val="24"/>
            </w:rPr>
            <w:fldChar w:fldCharType="end"/>
          </w:r>
          <w:r>
            <w:rPr>
              <w:rFonts w:hint="eastAsia" w:ascii="黑体" w:hAnsi="黑体" w:eastAsia="黑体" w:cs="黑体"/>
              <w:w w:val="95"/>
              <w:sz w:val="24"/>
              <w:szCs w:val="24"/>
            </w:rPr>
            <w:fldChar w:fldCharType="end"/>
          </w:r>
        </w:p>
        <w:p w14:paraId="3B754D47">
          <w:pPr>
            <w:pStyle w:val="11"/>
            <w:tabs>
              <w:tab w:val="right" w:leader="dot" w:pos="6634"/>
            </w:tabs>
            <w:jc w:val="distribute"/>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_Toc25111 </w:instrText>
          </w:r>
          <w:r>
            <w:rPr>
              <w:rFonts w:hint="eastAsia" w:ascii="黑体" w:hAnsi="黑体" w:eastAsia="黑体" w:cs="黑体"/>
              <w:sz w:val="24"/>
              <w:szCs w:val="24"/>
            </w:rPr>
            <w:fldChar w:fldCharType="separate"/>
          </w:r>
          <w:r>
            <w:rPr>
              <w:rFonts w:hint="eastAsia" w:ascii="黑体" w:hAnsi="黑体" w:eastAsia="黑体" w:cs="黑体"/>
              <w:bCs/>
              <w:sz w:val="24"/>
              <w:szCs w:val="24"/>
            </w:rPr>
            <w:t>第二章  形势任务</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_Toc25111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9FCA9D8">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_Toc2464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机遇和挑战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_Toc2464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DEA72F">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_Toc2582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总体要求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_Toc2582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4291E1">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_Toc12085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_Toc12085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B33C1B">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_Toc26944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“十四五”时期发展的主要目标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_Toc26944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796245">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_Toc10262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第五节 到二〇三五年远景目标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_Toc10262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E5D8AA">
          <w:pPr>
            <w:pStyle w:val="11"/>
            <w:tabs>
              <w:tab w:val="right" w:leader="dot" w:pos="6634"/>
            </w:tabs>
            <w:jc w:val="distribute"/>
            <w:rPr>
              <w:rFonts w:hint="eastAsia" w:ascii="宋体" w:hAnsi="宋体" w:eastAsia="宋体" w:cs="宋体"/>
              <w:bCs/>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_Toc10528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第三章  大力推进新型工业化，加快发展现代产业体系</w:t>
          </w:r>
          <w:r>
            <w:rPr>
              <w:rFonts w:hint="eastAsia" w:ascii="黑体" w:hAnsi="黑体" w:eastAsia="黑体" w:cs="黑体"/>
              <w:bCs/>
              <w:sz w:val="24"/>
              <w:szCs w:val="24"/>
            </w:rPr>
            <w:tab/>
          </w: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PAGEREF _Toc10528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25</w:t>
          </w:r>
          <w:r>
            <w:rPr>
              <w:rFonts w:hint="eastAsia" w:ascii="黑体" w:hAnsi="黑体" w:eastAsia="黑体" w:cs="黑体"/>
              <w:bCs/>
              <w:sz w:val="24"/>
              <w:szCs w:val="24"/>
            </w:rPr>
            <w:fldChar w:fldCharType="end"/>
          </w:r>
          <w:r>
            <w:rPr>
              <w:rFonts w:hint="eastAsia" w:ascii="黑体" w:hAnsi="黑体" w:eastAsia="黑体" w:cs="黑体"/>
              <w:bCs/>
              <w:sz w:val="24"/>
              <w:szCs w:val="24"/>
            </w:rPr>
            <w:fldChar w:fldCharType="end"/>
          </w:r>
        </w:p>
        <w:p w14:paraId="53C7A399">
          <w:pPr>
            <w:pStyle w:val="13"/>
            <w:tabs>
              <w:tab w:val="right" w:leader="dot" w:pos="6634"/>
            </w:tabs>
            <w:jc w:val="distribute"/>
            <w:rPr>
              <w:rFonts w:hint="eastAsia" w:ascii="宋体" w:hAnsi="宋体" w:eastAsia="宋体" w:cs="宋体"/>
              <w:w w:val="98"/>
              <w:sz w:val="24"/>
              <w:szCs w:val="24"/>
            </w:rPr>
          </w:pPr>
          <w:r>
            <w:rPr>
              <w:rFonts w:hint="eastAsia" w:ascii="宋体" w:hAnsi="宋体" w:eastAsia="宋体" w:cs="宋体"/>
              <w:w w:val="98"/>
              <w:sz w:val="24"/>
              <w:szCs w:val="24"/>
            </w:rPr>
            <w:fldChar w:fldCharType="begin"/>
          </w:r>
          <w:r>
            <w:rPr>
              <w:rFonts w:hint="eastAsia" w:ascii="宋体" w:hAnsi="宋体" w:eastAsia="宋体" w:cs="宋体"/>
              <w:w w:val="98"/>
              <w:sz w:val="24"/>
              <w:szCs w:val="24"/>
            </w:rPr>
            <w:instrText xml:space="preserve"> HYPERLINK \l _Toc8203 </w:instrText>
          </w:r>
          <w:r>
            <w:rPr>
              <w:rFonts w:hint="eastAsia" w:ascii="宋体" w:hAnsi="宋体" w:eastAsia="宋体" w:cs="宋体"/>
              <w:w w:val="98"/>
              <w:sz w:val="24"/>
              <w:szCs w:val="24"/>
            </w:rPr>
            <w:fldChar w:fldCharType="separate"/>
          </w:r>
          <w:r>
            <w:rPr>
              <w:rFonts w:hint="eastAsia" w:ascii="宋体" w:hAnsi="宋体" w:eastAsia="宋体" w:cs="宋体"/>
              <w:bCs/>
              <w:w w:val="98"/>
              <w:sz w:val="24"/>
              <w:szCs w:val="24"/>
            </w:rPr>
            <w:t>第一节  优化工业发展空间布局，构建新型发展格局</w:t>
          </w:r>
          <w:r>
            <w:rPr>
              <w:rFonts w:hint="eastAsia" w:ascii="宋体" w:hAnsi="宋体" w:eastAsia="宋体" w:cs="宋体"/>
              <w:w w:val="98"/>
              <w:sz w:val="24"/>
              <w:szCs w:val="24"/>
            </w:rPr>
            <w:tab/>
          </w:r>
          <w:r>
            <w:rPr>
              <w:rFonts w:hint="eastAsia" w:ascii="宋体" w:hAnsi="宋体" w:eastAsia="宋体" w:cs="宋体"/>
              <w:w w:val="98"/>
              <w:sz w:val="24"/>
              <w:szCs w:val="24"/>
            </w:rPr>
            <w:fldChar w:fldCharType="begin"/>
          </w:r>
          <w:r>
            <w:rPr>
              <w:rFonts w:hint="eastAsia" w:ascii="宋体" w:hAnsi="宋体" w:eastAsia="宋体" w:cs="宋体"/>
              <w:w w:val="98"/>
              <w:sz w:val="24"/>
              <w:szCs w:val="24"/>
            </w:rPr>
            <w:instrText xml:space="preserve"> PAGEREF _Toc8203 </w:instrText>
          </w:r>
          <w:r>
            <w:rPr>
              <w:rFonts w:hint="eastAsia" w:ascii="宋体" w:hAnsi="宋体" w:eastAsia="宋体" w:cs="宋体"/>
              <w:w w:val="98"/>
              <w:sz w:val="24"/>
              <w:szCs w:val="24"/>
            </w:rPr>
            <w:fldChar w:fldCharType="separate"/>
          </w:r>
          <w:r>
            <w:rPr>
              <w:rFonts w:hint="eastAsia" w:ascii="宋体" w:hAnsi="宋体" w:eastAsia="宋体" w:cs="宋体"/>
              <w:w w:val="98"/>
              <w:sz w:val="24"/>
              <w:szCs w:val="24"/>
            </w:rPr>
            <w:t>25</w:t>
          </w:r>
          <w:r>
            <w:rPr>
              <w:rFonts w:hint="eastAsia" w:ascii="宋体" w:hAnsi="宋体" w:eastAsia="宋体" w:cs="宋体"/>
              <w:w w:val="98"/>
              <w:sz w:val="24"/>
              <w:szCs w:val="24"/>
            </w:rPr>
            <w:fldChar w:fldCharType="end"/>
          </w:r>
          <w:r>
            <w:rPr>
              <w:rFonts w:hint="eastAsia" w:ascii="宋体" w:hAnsi="宋体" w:eastAsia="宋体" w:cs="宋体"/>
              <w:w w:val="98"/>
              <w:sz w:val="24"/>
              <w:szCs w:val="24"/>
            </w:rPr>
            <w:fldChar w:fldCharType="end"/>
          </w:r>
        </w:p>
        <w:p w14:paraId="6F169FD6">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_Toc29983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第二节 大力发展绿色食品工业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_Toc29983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3B2B76">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_Toc4248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第三节 因势利导发展特色和新兴产业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_Toc4248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AFCE9E">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_Toc21892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提升产业链现代化水平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_Toc21892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28E929">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_Toc19050 </w:instrText>
          </w:r>
          <w:r>
            <w:rPr>
              <w:rFonts w:hint="eastAsia" w:ascii="宋体" w:hAnsi="宋体" w:eastAsia="宋体" w:cs="宋体"/>
              <w:sz w:val="24"/>
              <w:szCs w:val="24"/>
            </w:rPr>
            <w:fldChar w:fldCharType="separate"/>
          </w:r>
          <w:r>
            <w:rPr>
              <w:rFonts w:hint="eastAsia" w:ascii="宋体" w:hAnsi="宋体" w:eastAsia="宋体" w:cs="宋体"/>
              <w:sz w:val="24"/>
              <w:szCs w:val="24"/>
            </w:rPr>
            <w:t>第五节 优化促进园区集聚发展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_Toc19050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4FC629">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_Toc17316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第六节 打造高质量发展新引擎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_Toc17316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A95968">
          <w:pPr>
            <w:pStyle w:val="11"/>
            <w:tabs>
              <w:tab w:val="right" w:leader="dot" w:pos="6634"/>
            </w:tabs>
            <w:jc w:val="distribute"/>
            <w:rPr>
              <w:rFonts w:hint="eastAsia" w:ascii="宋体" w:hAnsi="宋体" w:eastAsia="宋体" w:cs="宋体"/>
              <w:w w:val="95"/>
              <w:sz w:val="24"/>
              <w:szCs w:val="24"/>
            </w:rPr>
          </w:pPr>
          <w:r>
            <w:rPr>
              <w:rFonts w:hint="eastAsia" w:ascii="黑体" w:hAnsi="黑体" w:eastAsia="黑体" w:cs="黑体"/>
              <w:w w:val="95"/>
              <w:sz w:val="24"/>
              <w:szCs w:val="24"/>
            </w:rPr>
            <w:fldChar w:fldCharType="begin"/>
          </w:r>
          <w:r>
            <w:rPr>
              <w:rFonts w:hint="eastAsia" w:ascii="黑体" w:hAnsi="黑体" w:eastAsia="黑体" w:cs="黑体"/>
              <w:w w:val="95"/>
              <w:sz w:val="24"/>
              <w:szCs w:val="24"/>
            </w:rPr>
            <w:instrText xml:space="preserve"> HYPERLINK \l _Toc10082 </w:instrText>
          </w:r>
          <w:r>
            <w:rPr>
              <w:rFonts w:hint="eastAsia" w:ascii="黑体" w:hAnsi="黑体" w:eastAsia="黑体" w:cs="黑体"/>
              <w:w w:val="95"/>
              <w:sz w:val="24"/>
              <w:szCs w:val="24"/>
            </w:rPr>
            <w:fldChar w:fldCharType="separate"/>
          </w:r>
          <w:r>
            <w:rPr>
              <w:rFonts w:hint="eastAsia" w:ascii="黑体" w:hAnsi="黑体" w:eastAsia="黑体" w:cs="黑体"/>
              <w:bCs/>
              <w:w w:val="95"/>
              <w:sz w:val="24"/>
              <w:szCs w:val="24"/>
            </w:rPr>
            <w:t xml:space="preserve">第四章 </w:t>
          </w:r>
          <w:r>
            <w:rPr>
              <w:rFonts w:hint="eastAsia" w:ascii="黑体" w:hAnsi="黑体" w:eastAsia="黑体" w:cs="黑体"/>
              <w:bCs/>
              <w:w w:val="95"/>
              <w:sz w:val="24"/>
              <w:szCs w:val="24"/>
              <w:lang w:val="en-US" w:eastAsia="zh-CN"/>
            </w:rPr>
            <w:t xml:space="preserve"> </w:t>
          </w:r>
          <w:r>
            <w:rPr>
              <w:rFonts w:hint="eastAsia" w:ascii="黑体" w:hAnsi="黑体" w:eastAsia="黑体" w:cs="黑体"/>
              <w:bCs/>
              <w:w w:val="95"/>
              <w:sz w:val="24"/>
              <w:szCs w:val="24"/>
            </w:rPr>
            <w:t>大力推进新型城镇化，加快与主城区融合发展步伐</w:t>
          </w:r>
          <w:r>
            <w:rPr>
              <w:rFonts w:hint="eastAsia" w:ascii="黑体" w:hAnsi="黑体" w:eastAsia="黑体" w:cs="黑体"/>
              <w:bCs/>
              <w:w w:val="95"/>
              <w:sz w:val="24"/>
              <w:szCs w:val="24"/>
            </w:rPr>
            <w:tab/>
          </w:r>
          <w:r>
            <w:rPr>
              <w:rFonts w:hint="eastAsia" w:ascii="黑体" w:hAnsi="黑体" w:eastAsia="黑体" w:cs="黑体"/>
              <w:bCs/>
              <w:w w:val="95"/>
              <w:sz w:val="24"/>
              <w:szCs w:val="24"/>
            </w:rPr>
            <w:fldChar w:fldCharType="begin"/>
          </w:r>
          <w:r>
            <w:rPr>
              <w:rFonts w:hint="eastAsia" w:ascii="黑体" w:hAnsi="黑体" w:eastAsia="黑体" w:cs="黑体"/>
              <w:bCs/>
              <w:w w:val="95"/>
              <w:sz w:val="24"/>
              <w:szCs w:val="24"/>
            </w:rPr>
            <w:instrText xml:space="preserve"> PAGEREF _Toc10082 </w:instrText>
          </w:r>
          <w:r>
            <w:rPr>
              <w:rFonts w:hint="eastAsia" w:ascii="黑体" w:hAnsi="黑体" w:eastAsia="黑体" w:cs="黑体"/>
              <w:bCs/>
              <w:w w:val="95"/>
              <w:sz w:val="24"/>
              <w:szCs w:val="24"/>
            </w:rPr>
            <w:fldChar w:fldCharType="separate"/>
          </w:r>
          <w:r>
            <w:rPr>
              <w:rFonts w:hint="eastAsia" w:ascii="黑体" w:hAnsi="黑体" w:eastAsia="黑体" w:cs="黑体"/>
              <w:bCs/>
              <w:w w:val="95"/>
              <w:sz w:val="24"/>
              <w:szCs w:val="24"/>
            </w:rPr>
            <w:t>38</w:t>
          </w:r>
          <w:r>
            <w:rPr>
              <w:rFonts w:hint="eastAsia" w:ascii="黑体" w:hAnsi="黑体" w:eastAsia="黑体" w:cs="黑体"/>
              <w:bCs/>
              <w:w w:val="95"/>
              <w:sz w:val="24"/>
              <w:szCs w:val="24"/>
            </w:rPr>
            <w:fldChar w:fldCharType="end"/>
          </w:r>
          <w:r>
            <w:rPr>
              <w:rFonts w:hint="eastAsia" w:ascii="黑体" w:hAnsi="黑体" w:eastAsia="黑体" w:cs="黑体"/>
              <w:w w:val="95"/>
              <w:sz w:val="24"/>
              <w:szCs w:val="24"/>
            </w:rPr>
            <w:fldChar w:fldCharType="end"/>
          </w:r>
        </w:p>
        <w:p w14:paraId="484C815A">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_Toc18516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持续推进区域协调发展格局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_Toc18516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838885">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_Toc4523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加快推进与主城区融合发展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_Toc4523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B85A56">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_Toc16149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加快提升城市品质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_Toc16149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6CBE32">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_Toc12471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推进特色小（城）镇发展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_Toc12471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DEC9B4">
          <w:pPr>
            <w:pStyle w:val="11"/>
            <w:tabs>
              <w:tab w:val="right" w:leader="dot" w:pos="6634"/>
            </w:tabs>
            <w:jc w:val="distribute"/>
            <w:rPr>
              <w:rFonts w:hint="eastAsia" w:ascii="宋体" w:hAnsi="宋体" w:eastAsia="宋体" w:cs="宋体"/>
              <w:bCs/>
              <w:sz w:val="24"/>
              <w:szCs w:val="24"/>
            </w:rPr>
          </w:pPr>
          <w:r>
            <w:rPr>
              <w:rFonts w:hint="eastAsia" w:ascii="黑体" w:hAnsi="黑体" w:eastAsia="黑体" w:cs="黑体"/>
              <w:bCs/>
              <w:w w:val="85"/>
              <w:sz w:val="24"/>
              <w:szCs w:val="24"/>
            </w:rPr>
            <w:fldChar w:fldCharType="begin"/>
          </w:r>
          <w:r>
            <w:rPr>
              <w:rFonts w:hint="eastAsia" w:ascii="黑体" w:hAnsi="黑体" w:eastAsia="黑体" w:cs="黑体"/>
              <w:bCs/>
              <w:w w:val="85"/>
              <w:sz w:val="24"/>
              <w:szCs w:val="24"/>
            </w:rPr>
            <w:instrText xml:space="preserve"> HYPERLINK \l _Toc27553 </w:instrText>
          </w:r>
          <w:r>
            <w:rPr>
              <w:rFonts w:hint="eastAsia" w:ascii="黑体" w:hAnsi="黑体" w:eastAsia="黑体" w:cs="黑体"/>
              <w:bCs/>
              <w:w w:val="85"/>
              <w:sz w:val="24"/>
              <w:szCs w:val="24"/>
            </w:rPr>
            <w:fldChar w:fldCharType="separate"/>
          </w:r>
          <w:r>
            <w:rPr>
              <w:rFonts w:hint="eastAsia" w:ascii="黑体" w:hAnsi="黑体" w:eastAsia="黑体" w:cs="黑体"/>
              <w:bCs/>
              <w:w w:val="85"/>
              <w:sz w:val="24"/>
              <w:szCs w:val="24"/>
            </w:rPr>
            <w:t xml:space="preserve">第五章 </w:t>
          </w:r>
          <w:r>
            <w:rPr>
              <w:rFonts w:hint="eastAsia" w:ascii="黑体" w:hAnsi="黑体" w:eastAsia="黑体" w:cs="黑体"/>
              <w:bCs/>
              <w:w w:val="85"/>
              <w:sz w:val="24"/>
              <w:szCs w:val="24"/>
              <w:lang w:val="en-US" w:eastAsia="zh-CN"/>
            </w:rPr>
            <w:t xml:space="preserve"> </w:t>
          </w:r>
          <w:r>
            <w:rPr>
              <w:rFonts w:hint="eastAsia" w:ascii="黑体" w:hAnsi="黑体" w:eastAsia="黑体" w:cs="黑体"/>
              <w:bCs/>
              <w:w w:val="85"/>
              <w:sz w:val="24"/>
              <w:szCs w:val="24"/>
            </w:rPr>
            <w:t>大力推进农业农村现代化，</w:t>
          </w:r>
          <w:r>
            <w:rPr>
              <w:rFonts w:hint="eastAsia" w:ascii="黑体" w:hAnsi="黑体" w:eastAsia="黑体" w:cs="黑体"/>
              <w:bCs/>
              <w:w w:val="85"/>
              <w:sz w:val="24"/>
              <w:szCs w:val="24"/>
            </w:rPr>
            <w:fldChar w:fldCharType="end"/>
          </w:r>
          <w:r>
            <w:rPr>
              <w:rFonts w:hint="eastAsia" w:ascii="黑体" w:hAnsi="黑体" w:eastAsia="黑体" w:cs="黑体"/>
              <w:bCs/>
              <w:w w:val="85"/>
              <w:sz w:val="24"/>
              <w:szCs w:val="24"/>
            </w:rPr>
            <w:fldChar w:fldCharType="begin"/>
          </w:r>
          <w:r>
            <w:rPr>
              <w:rFonts w:hint="eastAsia" w:ascii="黑体" w:hAnsi="黑体" w:eastAsia="黑体" w:cs="黑体"/>
              <w:bCs/>
              <w:w w:val="85"/>
              <w:sz w:val="24"/>
              <w:szCs w:val="24"/>
            </w:rPr>
            <w:instrText xml:space="preserve"> HYPERLINK \l _Toc21288 </w:instrText>
          </w:r>
          <w:r>
            <w:rPr>
              <w:rFonts w:hint="eastAsia" w:ascii="黑体" w:hAnsi="黑体" w:eastAsia="黑体" w:cs="黑体"/>
              <w:bCs/>
              <w:w w:val="85"/>
              <w:sz w:val="24"/>
              <w:szCs w:val="24"/>
            </w:rPr>
            <w:fldChar w:fldCharType="separate"/>
          </w:r>
          <w:r>
            <w:rPr>
              <w:rFonts w:hint="eastAsia" w:ascii="黑体" w:hAnsi="黑体" w:eastAsia="黑体" w:cs="黑体"/>
              <w:bCs/>
              <w:w w:val="85"/>
              <w:sz w:val="24"/>
              <w:szCs w:val="24"/>
            </w:rPr>
            <w:t>深入实施乡村振兴战略</w:t>
          </w:r>
          <w:r>
            <w:rPr>
              <w:rFonts w:hint="eastAsia" w:ascii="黑体" w:hAnsi="黑体" w:eastAsia="黑体" w:cs="黑体"/>
              <w:bCs/>
              <w:w w:val="85"/>
              <w:sz w:val="24"/>
              <w:szCs w:val="24"/>
            </w:rPr>
            <w:tab/>
          </w:r>
          <w:r>
            <w:rPr>
              <w:rFonts w:hint="eastAsia" w:ascii="黑体" w:hAnsi="黑体" w:eastAsia="黑体" w:cs="黑体"/>
              <w:bCs/>
              <w:w w:val="85"/>
              <w:sz w:val="24"/>
              <w:szCs w:val="24"/>
            </w:rPr>
            <w:fldChar w:fldCharType="begin"/>
          </w:r>
          <w:r>
            <w:rPr>
              <w:rFonts w:hint="eastAsia" w:ascii="黑体" w:hAnsi="黑体" w:eastAsia="黑体" w:cs="黑体"/>
              <w:bCs/>
              <w:w w:val="85"/>
              <w:sz w:val="24"/>
              <w:szCs w:val="24"/>
            </w:rPr>
            <w:instrText xml:space="preserve"> PAGEREF _Toc21288 </w:instrText>
          </w:r>
          <w:r>
            <w:rPr>
              <w:rFonts w:hint="eastAsia" w:ascii="黑体" w:hAnsi="黑体" w:eastAsia="黑体" w:cs="黑体"/>
              <w:bCs/>
              <w:w w:val="85"/>
              <w:sz w:val="24"/>
              <w:szCs w:val="24"/>
            </w:rPr>
            <w:fldChar w:fldCharType="separate"/>
          </w:r>
          <w:r>
            <w:rPr>
              <w:rFonts w:hint="eastAsia" w:ascii="黑体" w:hAnsi="黑体" w:eastAsia="黑体" w:cs="黑体"/>
              <w:bCs/>
              <w:w w:val="85"/>
              <w:sz w:val="24"/>
              <w:szCs w:val="24"/>
            </w:rPr>
            <w:t>49</w:t>
          </w:r>
          <w:r>
            <w:rPr>
              <w:rFonts w:hint="eastAsia" w:ascii="黑体" w:hAnsi="黑体" w:eastAsia="黑体" w:cs="黑体"/>
              <w:bCs/>
              <w:w w:val="85"/>
              <w:sz w:val="24"/>
              <w:szCs w:val="24"/>
            </w:rPr>
            <w:fldChar w:fldCharType="end"/>
          </w:r>
          <w:r>
            <w:rPr>
              <w:rFonts w:hint="eastAsia" w:ascii="黑体" w:hAnsi="黑体" w:eastAsia="黑体" w:cs="黑体"/>
              <w:bCs/>
              <w:w w:val="85"/>
              <w:sz w:val="24"/>
              <w:szCs w:val="24"/>
            </w:rPr>
            <w:fldChar w:fldCharType="end"/>
          </w:r>
        </w:p>
        <w:p w14:paraId="3391E46B">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_Toc15537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巩固拓展脱贫攻坚成果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_Toc15537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92ED11">
          <w:pPr>
            <w:pStyle w:val="13"/>
            <w:tabs>
              <w:tab w:val="right" w:leader="dot" w:pos="6634"/>
            </w:tabs>
            <w:jc w:val="distribute"/>
            <w:rPr>
              <w:rFonts w:hint="eastAsia" w:ascii="宋体" w:hAnsi="宋体" w:eastAsia="宋体" w:cs="宋体"/>
              <w:w w:val="93"/>
              <w:sz w:val="24"/>
              <w:szCs w:val="24"/>
            </w:rPr>
          </w:pPr>
          <w:r>
            <w:rPr>
              <w:rFonts w:hint="eastAsia" w:ascii="宋体" w:hAnsi="宋体" w:eastAsia="宋体" w:cs="宋体"/>
              <w:w w:val="93"/>
              <w:sz w:val="24"/>
              <w:szCs w:val="24"/>
            </w:rPr>
            <w:fldChar w:fldCharType="begin"/>
          </w:r>
          <w:r>
            <w:rPr>
              <w:rFonts w:hint="eastAsia" w:ascii="宋体" w:hAnsi="宋体" w:eastAsia="宋体" w:cs="宋体"/>
              <w:w w:val="93"/>
              <w:sz w:val="24"/>
              <w:szCs w:val="24"/>
            </w:rPr>
            <w:instrText xml:space="preserve"> HYPERLINK \l _Toc9448 </w:instrText>
          </w:r>
          <w:r>
            <w:rPr>
              <w:rFonts w:hint="eastAsia" w:ascii="宋体" w:hAnsi="宋体" w:eastAsia="宋体" w:cs="宋体"/>
              <w:w w:val="93"/>
              <w:sz w:val="24"/>
              <w:szCs w:val="24"/>
            </w:rPr>
            <w:fldChar w:fldCharType="separate"/>
          </w:r>
          <w:r>
            <w:rPr>
              <w:rFonts w:hint="eastAsia" w:ascii="宋体" w:hAnsi="宋体" w:eastAsia="宋体" w:cs="宋体"/>
              <w:w w:val="93"/>
              <w:sz w:val="24"/>
              <w:szCs w:val="24"/>
            </w:rPr>
            <w:t>第二节 夯实农业发展基础，破解制约农业发展瓶颈问题</w:t>
          </w:r>
          <w:r>
            <w:rPr>
              <w:rFonts w:hint="eastAsia" w:ascii="宋体" w:hAnsi="宋体" w:eastAsia="宋体" w:cs="宋体"/>
              <w:w w:val="93"/>
              <w:sz w:val="24"/>
              <w:szCs w:val="24"/>
            </w:rPr>
            <w:tab/>
          </w:r>
          <w:r>
            <w:rPr>
              <w:rFonts w:hint="eastAsia" w:ascii="宋体" w:hAnsi="宋体" w:eastAsia="宋体" w:cs="宋体"/>
              <w:w w:val="93"/>
              <w:sz w:val="24"/>
              <w:szCs w:val="24"/>
            </w:rPr>
            <w:fldChar w:fldCharType="begin"/>
          </w:r>
          <w:r>
            <w:rPr>
              <w:rFonts w:hint="eastAsia" w:ascii="宋体" w:hAnsi="宋体" w:eastAsia="宋体" w:cs="宋体"/>
              <w:w w:val="93"/>
              <w:sz w:val="24"/>
              <w:szCs w:val="24"/>
            </w:rPr>
            <w:instrText xml:space="preserve"> PAGEREF _Toc9448 </w:instrText>
          </w:r>
          <w:r>
            <w:rPr>
              <w:rFonts w:hint="eastAsia" w:ascii="宋体" w:hAnsi="宋体" w:eastAsia="宋体" w:cs="宋体"/>
              <w:w w:val="93"/>
              <w:sz w:val="24"/>
              <w:szCs w:val="24"/>
            </w:rPr>
            <w:fldChar w:fldCharType="separate"/>
          </w:r>
          <w:r>
            <w:rPr>
              <w:rFonts w:hint="eastAsia" w:ascii="宋体" w:hAnsi="宋体" w:eastAsia="宋体" w:cs="宋体"/>
              <w:w w:val="93"/>
              <w:sz w:val="24"/>
              <w:szCs w:val="24"/>
            </w:rPr>
            <w:t>50</w:t>
          </w:r>
          <w:r>
            <w:rPr>
              <w:rFonts w:hint="eastAsia" w:ascii="宋体" w:hAnsi="宋体" w:eastAsia="宋体" w:cs="宋体"/>
              <w:w w:val="93"/>
              <w:sz w:val="24"/>
              <w:szCs w:val="24"/>
            </w:rPr>
            <w:fldChar w:fldCharType="end"/>
          </w:r>
          <w:r>
            <w:rPr>
              <w:rFonts w:hint="eastAsia" w:ascii="宋体" w:hAnsi="宋体" w:eastAsia="宋体" w:cs="宋体"/>
              <w:w w:val="93"/>
              <w:sz w:val="24"/>
              <w:szCs w:val="24"/>
            </w:rPr>
            <w:fldChar w:fldCharType="end"/>
          </w:r>
        </w:p>
        <w:p w14:paraId="379C6B81">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_Toc11840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第三节 发展特色高效产业和提高农业质量效益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_Toc11840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F65BF">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_Toc31476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持续深化农村改革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_Toc31476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1AC41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_Toc3732 </w:instrText>
          </w:r>
          <w:r>
            <w:rPr>
              <w:rFonts w:hint="eastAsia" w:ascii="宋体" w:hAnsi="宋体" w:eastAsia="宋体" w:cs="宋体"/>
              <w:sz w:val="24"/>
              <w:szCs w:val="24"/>
            </w:rPr>
            <w:fldChar w:fldCharType="separate"/>
          </w:r>
          <w:r>
            <w:rPr>
              <w:rFonts w:hint="eastAsia" w:ascii="宋体" w:hAnsi="宋体" w:eastAsia="宋体" w:cs="宋体"/>
              <w:sz w:val="24"/>
              <w:szCs w:val="24"/>
            </w:rPr>
            <w:t>第五节 实施乡村建设行动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_Toc3732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1B5C0C">
          <w:pPr>
            <w:pStyle w:val="11"/>
            <w:tabs>
              <w:tab w:val="right" w:leader="dot" w:pos="6634"/>
            </w:tabs>
            <w:jc w:val="distribute"/>
            <w:rPr>
              <w:rFonts w:hint="eastAsia" w:ascii="宋体" w:hAnsi="宋体" w:eastAsia="宋体" w:cs="宋体"/>
              <w:w w:val="90"/>
              <w:sz w:val="24"/>
              <w:szCs w:val="24"/>
            </w:rPr>
          </w:pPr>
          <w:r>
            <w:rPr>
              <w:rFonts w:hint="eastAsia" w:ascii="黑体" w:hAnsi="黑体" w:eastAsia="黑体" w:cs="黑体"/>
              <w:bCs/>
              <w:w w:val="90"/>
              <w:sz w:val="24"/>
              <w:szCs w:val="24"/>
            </w:rPr>
            <w:fldChar w:fldCharType="begin"/>
          </w:r>
          <w:r>
            <w:rPr>
              <w:rFonts w:hint="eastAsia" w:ascii="黑体" w:hAnsi="黑体" w:eastAsia="黑体" w:cs="黑体"/>
              <w:bCs/>
              <w:w w:val="90"/>
              <w:sz w:val="24"/>
              <w:szCs w:val="24"/>
            </w:rPr>
            <w:instrText xml:space="preserve"> HYPERLINK \l _Toc2738 </w:instrText>
          </w:r>
          <w:r>
            <w:rPr>
              <w:rFonts w:hint="eastAsia" w:ascii="黑体" w:hAnsi="黑体" w:eastAsia="黑体" w:cs="黑体"/>
              <w:bCs/>
              <w:w w:val="90"/>
              <w:sz w:val="24"/>
              <w:szCs w:val="24"/>
            </w:rPr>
            <w:fldChar w:fldCharType="separate"/>
          </w:r>
          <w:r>
            <w:rPr>
              <w:rFonts w:hint="eastAsia" w:ascii="黑体" w:hAnsi="黑体" w:eastAsia="黑体" w:cs="黑体"/>
              <w:bCs/>
              <w:w w:val="90"/>
              <w:sz w:val="24"/>
              <w:szCs w:val="24"/>
            </w:rPr>
            <w:t>第六章  大力推进旅游产业化，推动“旅游+”融合发展新突破</w:t>
          </w:r>
          <w:r>
            <w:rPr>
              <w:rFonts w:hint="eastAsia" w:ascii="黑体" w:hAnsi="黑体" w:eastAsia="黑体" w:cs="黑体"/>
              <w:bCs/>
              <w:w w:val="90"/>
              <w:sz w:val="24"/>
              <w:szCs w:val="24"/>
            </w:rPr>
            <w:tab/>
          </w:r>
          <w:r>
            <w:rPr>
              <w:rFonts w:hint="eastAsia" w:ascii="黑体" w:hAnsi="黑体" w:eastAsia="黑体" w:cs="黑体"/>
              <w:bCs/>
              <w:w w:val="90"/>
              <w:sz w:val="24"/>
              <w:szCs w:val="24"/>
            </w:rPr>
            <w:fldChar w:fldCharType="begin"/>
          </w:r>
          <w:r>
            <w:rPr>
              <w:rFonts w:hint="eastAsia" w:ascii="黑体" w:hAnsi="黑体" w:eastAsia="黑体" w:cs="黑体"/>
              <w:bCs/>
              <w:w w:val="90"/>
              <w:sz w:val="24"/>
              <w:szCs w:val="24"/>
            </w:rPr>
            <w:instrText xml:space="preserve"> PAGEREF _Toc2738 </w:instrText>
          </w:r>
          <w:r>
            <w:rPr>
              <w:rFonts w:hint="eastAsia" w:ascii="黑体" w:hAnsi="黑体" w:eastAsia="黑体" w:cs="黑体"/>
              <w:bCs/>
              <w:w w:val="90"/>
              <w:sz w:val="24"/>
              <w:szCs w:val="24"/>
            </w:rPr>
            <w:fldChar w:fldCharType="separate"/>
          </w:r>
          <w:r>
            <w:rPr>
              <w:rFonts w:hint="eastAsia" w:ascii="黑体" w:hAnsi="黑体" w:eastAsia="黑体" w:cs="黑体"/>
              <w:bCs/>
              <w:w w:val="90"/>
              <w:sz w:val="24"/>
              <w:szCs w:val="24"/>
            </w:rPr>
            <w:t>70</w:t>
          </w:r>
          <w:r>
            <w:rPr>
              <w:rFonts w:hint="eastAsia" w:ascii="黑体" w:hAnsi="黑体" w:eastAsia="黑体" w:cs="黑体"/>
              <w:bCs/>
              <w:w w:val="90"/>
              <w:sz w:val="24"/>
              <w:szCs w:val="24"/>
            </w:rPr>
            <w:fldChar w:fldCharType="end"/>
          </w:r>
          <w:r>
            <w:rPr>
              <w:rFonts w:hint="eastAsia" w:ascii="黑体" w:hAnsi="黑体" w:eastAsia="黑体" w:cs="黑体"/>
              <w:bCs/>
              <w:w w:val="90"/>
              <w:sz w:val="24"/>
              <w:szCs w:val="24"/>
            </w:rPr>
            <w:fldChar w:fldCharType="end"/>
          </w:r>
        </w:p>
        <w:p w14:paraId="4830DDD2">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_Toc17613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第一节 打造全域旅游发展新格局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_Toc17613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6308B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_Toc20681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第二节 推进“旅游+多产业”融合发展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_Toc20681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A83009">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_Toc27866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大力发展康养旅游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_Toc27866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15CD2A">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_Toc19404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第四节 提升旅游服务质量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_Toc19404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9FEC81">
          <w:pPr>
            <w:pStyle w:val="11"/>
            <w:tabs>
              <w:tab w:val="right" w:leader="dot" w:pos="6634"/>
            </w:tabs>
            <w:jc w:val="distribute"/>
            <w:rPr>
              <w:rFonts w:hint="eastAsia" w:ascii="宋体" w:hAnsi="宋体" w:eastAsia="宋体" w:cs="宋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_Toc31729 </w:instrText>
          </w:r>
          <w:r>
            <w:rPr>
              <w:rFonts w:hint="eastAsia" w:ascii="黑体" w:hAnsi="黑体" w:eastAsia="黑体" w:cs="黑体"/>
              <w:sz w:val="24"/>
              <w:szCs w:val="24"/>
            </w:rPr>
            <w:fldChar w:fldCharType="separate"/>
          </w:r>
          <w:r>
            <w:rPr>
              <w:rFonts w:hint="eastAsia" w:ascii="黑体" w:hAnsi="黑体" w:eastAsia="黑体" w:cs="黑体"/>
              <w:bCs/>
              <w:sz w:val="24"/>
              <w:szCs w:val="24"/>
            </w:rPr>
            <w:t>第七章  坚持创新驱动发展，着力激发高质量发展新动能</w:t>
          </w:r>
          <w:r>
            <w:rPr>
              <w:rFonts w:hint="eastAsia" w:ascii="黑体" w:hAnsi="黑体" w:eastAsia="黑体" w:cs="黑体"/>
              <w:bCs/>
              <w:sz w:val="24"/>
              <w:szCs w:val="24"/>
            </w:rPr>
            <w:tab/>
          </w: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PAGEREF _Toc31729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82</w:t>
          </w:r>
          <w:r>
            <w:rPr>
              <w:rFonts w:hint="eastAsia" w:ascii="黑体" w:hAnsi="黑体" w:eastAsia="黑体" w:cs="黑体"/>
              <w:bCs/>
              <w:sz w:val="24"/>
              <w:szCs w:val="24"/>
            </w:rPr>
            <w:fldChar w:fldCharType="end"/>
          </w:r>
          <w:r>
            <w:rPr>
              <w:rFonts w:hint="eastAsia" w:ascii="黑体" w:hAnsi="黑体" w:eastAsia="黑体" w:cs="黑体"/>
              <w:sz w:val="24"/>
              <w:szCs w:val="24"/>
            </w:rPr>
            <w:fldChar w:fldCharType="end"/>
          </w:r>
        </w:p>
        <w:p w14:paraId="53610D8E">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_Toc4417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深入实施创新驱动发展战略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_Toc4417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47670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_Toc31239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着力推动数字经济发展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_Toc31239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B57A5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_Toc32737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培育壮大创新主体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_Toc32737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FB5486">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_Toc10057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激发社会创新活力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_Toc10057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3C8BA0">
          <w:pPr>
            <w:pStyle w:val="11"/>
            <w:tabs>
              <w:tab w:val="right" w:leader="dot" w:pos="6634"/>
            </w:tabs>
            <w:jc w:val="distribute"/>
            <w:rPr>
              <w:rFonts w:hint="eastAsia" w:ascii="宋体" w:hAnsi="宋体" w:eastAsia="宋体" w:cs="宋体"/>
              <w:bCs/>
              <w:sz w:val="24"/>
              <w:szCs w:val="24"/>
            </w:rPr>
          </w:pPr>
          <w:r>
            <w:rPr>
              <w:rFonts w:hint="eastAsia" w:ascii="黑体" w:hAnsi="黑体" w:eastAsia="黑体" w:cs="黑体"/>
              <w:bCs/>
              <w:w w:val="80"/>
              <w:sz w:val="24"/>
              <w:szCs w:val="24"/>
            </w:rPr>
            <w:fldChar w:fldCharType="begin"/>
          </w:r>
          <w:r>
            <w:rPr>
              <w:rFonts w:hint="eastAsia" w:ascii="黑体" w:hAnsi="黑体" w:eastAsia="黑体" w:cs="黑体"/>
              <w:bCs/>
              <w:w w:val="80"/>
              <w:sz w:val="24"/>
              <w:szCs w:val="24"/>
            </w:rPr>
            <w:instrText xml:space="preserve"> HYPERLINK \l _Toc26279 </w:instrText>
          </w:r>
          <w:r>
            <w:rPr>
              <w:rFonts w:hint="eastAsia" w:ascii="黑体" w:hAnsi="黑体" w:eastAsia="黑体" w:cs="黑体"/>
              <w:bCs/>
              <w:w w:val="80"/>
              <w:sz w:val="24"/>
              <w:szCs w:val="24"/>
            </w:rPr>
            <w:fldChar w:fldCharType="separate"/>
          </w:r>
          <w:r>
            <w:rPr>
              <w:rFonts w:hint="eastAsia" w:ascii="黑体" w:hAnsi="黑体" w:eastAsia="黑体" w:cs="黑体"/>
              <w:bCs/>
              <w:w w:val="80"/>
              <w:sz w:val="24"/>
              <w:szCs w:val="24"/>
            </w:rPr>
            <w:t>第八章</w:t>
          </w:r>
          <w:r>
            <w:rPr>
              <w:rFonts w:hint="eastAsia" w:ascii="黑体" w:hAnsi="黑体" w:eastAsia="黑体" w:cs="黑体"/>
              <w:bCs/>
              <w:w w:val="80"/>
              <w:sz w:val="24"/>
              <w:szCs w:val="24"/>
              <w:lang w:val="en-US" w:eastAsia="zh-CN"/>
            </w:rPr>
            <w:t xml:space="preserve"> </w:t>
          </w:r>
          <w:r>
            <w:rPr>
              <w:rFonts w:hint="eastAsia" w:ascii="黑体" w:hAnsi="黑体" w:eastAsia="黑体" w:cs="黑体"/>
              <w:bCs/>
              <w:w w:val="80"/>
              <w:sz w:val="24"/>
              <w:szCs w:val="24"/>
            </w:rPr>
            <w:t xml:space="preserve"> 坚持生态优先绿色发展，在不断实践中续写“两山论”新篇章</w:t>
          </w:r>
          <w:r>
            <w:rPr>
              <w:rFonts w:hint="eastAsia" w:ascii="黑体" w:hAnsi="黑体" w:eastAsia="黑体" w:cs="黑体"/>
              <w:bCs/>
              <w:w w:val="80"/>
              <w:sz w:val="24"/>
              <w:szCs w:val="24"/>
            </w:rPr>
            <w:tab/>
          </w:r>
          <w:r>
            <w:rPr>
              <w:rFonts w:hint="eastAsia" w:ascii="黑体" w:hAnsi="黑体" w:eastAsia="黑体" w:cs="黑体"/>
              <w:bCs/>
              <w:w w:val="80"/>
              <w:sz w:val="24"/>
              <w:szCs w:val="24"/>
            </w:rPr>
            <w:fldChar w:fldCharType="begin"/>
          </w:r>
          <w:r>
            <w:rPr>
              <w:rFonts w:hint="eastAsia" w:ascii="黑体" w:hAnsi="黑体" w:eastAsia="黑体" w:cs="黑体"/>
              <w:bCs/>
              <w:w w:val="80"/>
              <w:sz w:val="24"/>
              <w:szCs w:val="24"/>
            </w:rPr>
            <w:instrText xml:space="preserve"> PAGEREF _Toc26279 </w:instrText>
          </w:r>
          <w:r>
            <w:rPr>
              <w:rFonts w:hint="eastAsia" w:ascii="黑体" w:hAnsi="黑体" w:eastAsia="黑体" w:cs="黑体"/>
              <w:bCs/>
              <w:w w:val="80"/>
              <w:sz w:val="24"/>
              <w:szCs w:val="24"/>
            </w:rPr>
            <w:fldChar w:fldCharType="separate"/>
          </w:r>
          <w:r>
            <w:rPr>
              <w:rFonts w:hint="eastAsia" w:ascii="黑体" w:hAnsi="黑体" w:eastAsia="黑体" w:cs="黑体"/>
              <w:bCs/>
              <w:w w:val="80"/>
              <w:sz w:val="24"/>
              <w:szCs w:val="24"/>
            </w:rPr>
            <w:t>90</w:t>
          </w:r>
          <w:r>
            <w:rPr>
              <w:rFonts w:hint="eastAsia" w:ascii="黑体" w:hAnsi="黑体" w:eastAsia="黑体" w:cs="黑体"/>
              <w:bCs/>
              <w:w w:val="80"/>
              <w:sz w:val="24"/>
              <w:szCs w:val="24"/>
            </w:rPr>
            <w:fldChar w:fldCharType="end"/>
          </w:r>
          <w:r>
            <w:rPr>
              <w:rFonts w:hint="eastAsia" w:ascii="黑体" w:hAnsi="黑体" w:eastAsia="黑体" w:cs="黑体"/>
              <w:bCs/>
              <w:w w:val="80"/>
              <w:sz w:val="24"/>
              <w:szCs w:val="24"/>
            </w:rPr>
            <w:fldChar w:fldCharType="end"/>
          </w:r>
        </w:p>
        <w:p w14:paraId="44CD949A">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_Toc10492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加强国土空间开发保护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_Toc10492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0049F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_Toc15655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持续打好污染防治攻坚战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_Toc15655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BC1C34">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_Toc6611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大力发展绿色经济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_Toc6611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42CD3B">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_Toc30769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广泛开展绿色人文建设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_Toc30769 </w:instrText>
          </w:r>
          <w:r>
            <w:rPr>
              <w:rFonts w:hint="eastAsia" w:ascii="宋体" w:hAnsi="宋体" w:eastAsia="宋体" w:cs="宋体"/>
              <w:sz w:val="24"/>
              <w:szCs w:val="24"/>
            </w:rPr>
            <w:fldChar w:fldCharType="separate"/>
          </w:r>
          <w:r>
            <w:rPr>
              <w:rFonts w:hint="eastAsia" w:ascii="宋体" w:hAnsi="宋体" w:eastAsia="宋体" w:cs="宋体"/>
              <w:sz w:val="24"/>
              <w:szCs w:val="24"/>
            </w:rPr>
            <w:t>95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9951D">
          <w:pPr>
            <w:pStyle w:val="11"/>
            <w:tabs>
              <w:tab w:val="right" w:leader="dot" w:pos="6634"/>
            </w:tabs>
            <w:jc w:val="distribute"/>
            <w:rPr>
              <w:rFonts w:hint="eastAsia" w:ascii="黑体" w:hAnsi="黑体" w:eastAsia="黑体" w:cs="黑体"/>
              <w:bCs/>
              <w:w w:val="85"/>
              <w:sz w:val="24"/>
              <w:szCs w:val="24"/>
            </w:rPr>
          </w:pPr>
          <w:r>
            <w:rPr>
              <w:rFonts w:hint="eastAsia" w:ascii="黑体" w:hAnsi="黑体" w:eastAsia="黑体" w:cs="黑体"/>
              <w:bCs/>
              <w:w w:val="85"/>
              <w:sz w:val="24"/>
              <w:szCs w:val="24"/>
            </w:rPr>
            <w:fldChar w:fldCharType="begin"/>
          </w:r>
          <w:r>
            <w:rPr>
              <w:rFonts w:hint="eastAsia" w:ascii="黑体" w:hAnsi="黑体" w:eastAsia="黑体" w:cs="黑体"/>
              <w:bCs/>
              <w:w w:val="85"/>
              <w:sz w:val="24"/>
              <w:szCs w:val="24"/>
            </w:rPr>
            <w:instrText xml:space="preserve"> HYPERLINK \l _Toc33 </w:instrText>
          </w:r>
          <w:r>
            <w:rPr>
              <w:rFonts w:hint="eastAsia" w:ascii="黑体" w:hAnsi="黑体" w:eastAsia="黑体" w:cs="黑体"/>
              <w:bCs/>
              <w:w w:val="85"/>
              <w:sz w:val="24"/>
              <w:szCs w:val="24"/>
            </w:rPr>
            <w:fldChar w:fldCharType="separate"/>
          </w:r>
          <w:r>
            <w:rPr>
              <w:rFonts w:hint="eastAsia" w:ascii="黑体" w:hAnsi="黑体" w:eastAsia="黑体" w:cs="黑体"/>
              <w:bCs/>
              <w:w w:val="85"/>
              <w:sz w:val="24"/>
              <w:szCs w:val="24"/>
            </w:rPr>
            <w:t xml:space="preserve">第九章 </w:t>
          </w:r>
          <w:r>
            <w:rPr>
              <w:rFonts w:hint="eastAsia" w:ascii="黑体" w:hAnsi="黑体" w:eastAsia="黑体" w:cs="黑体"/>
              <w:bCs/>
              <w:w w:val="85"/>
              <w:sz w:val="24"/>
              <w:szCs w:val="24"/>
              <w:lang w:val="en-US" w:eastAsia="zh-CN"/>
            </w:rPr>
            <w:t xml:space="preserve"> </w:t>
          </w:r>
          <w:r>
            <w:rPr>
              <w:rFonts w:hint="eastAsia" w:ascii="黑体" w:hAnsi="黑体" w:eastAsia="黑体" w:cs="黑体"/>
              <w:bCs/>
              <w:w w:val="85"/>
              <w:sz w:val="24"/>
              <w:szCs w:val="24"/>
            </w:rPr>
            <w:t>坚持实施开放带动战略，主动融入成渝地区双城经济圈</w:t>
          </w:r>
          <w:r>
            <w:rPr>
              <w:rFonts w:hint="eastAsia" w:ascii="黑体" w:hAnsi="黑体" w:eastAsia="黑体" w:cs="黑体"/>
              <w:bCs/>
              <w:w w:val="85"/>
              <w:sz w:val="24"/>
              <w:szCs w:val="24"/>
            </w:rPr>
            <w:tab/>
          </w:r>
          <w:r>
            <w:rPr>
              <w:rFonts w:hint="eastAsia" w:ascii="黑体" w:hAnsi="黑体" w:eastAsia="黑体" w:cs="黑体"/>
              <w:bCs/>
              <w:w w:val="85"/>
              <w:sz w:val="24"/>
              <w:szCs w:val="24"/>
            </w:rPr>
            <w:fldChar w:fldCharType="begin"/>
          </w:r>
          <w:r>
            <w:rPr>
              <w:rFonts w:hint="eastAsia" w:ascii="黑体" w:hAnsi="黑体" w:eastAsia="黑体" w:cs="黑体"/>
              <w:bCs/>
              <w:w w:val="85"/>
              <w:sz w:val="24"/>
              <w:szCs w:val="24"/>
            </w:rPr>
            <w:instrText xml:space="preserve"> PAGEREF _Toc33 </w:instrText>
          </w:r>
          <w:r>
            <w:rPr>
              <w:rFonts w:hint="eastAsia" w:ascii="黑体" w:hAnsi="黑体" w:eastAsia="黑体" w:cs="黑体"/>
              <w:bCs/>
              <w:w w:val="85"/>
              <w:sz w:val="24"/>
              <w:szCs w:val="24"/>
            </w:rPr>
            <w:fldChar w:fldCharType="separate"/>
          </w:r>
          <w:r>
            <w:rPr>
              <w:rFonts w:hint="eastAsia" w:ascii="黑体" w:hAnsi="黑体" w:eastAsia="黑体" w:cs="黑体"/>
              <w:bCs/>
              <w:w w:val="85"/>
              <w:sz w:val="24"/>
              <w:szCs w:val="24"/>
            </w:rPr>
            <w:t>98</w:t>
          </w:r>
          <w:r>
            <w:rPr>
              <w:rFonts w:hint="eastAsia" w:ascii="黑体" w:hAnsi="黑体" w:eastAsia="黑体" w:cs="黑体"/>
              <w:bCs/>
              <w:w w:val="85"/>
              <w:sz w:val="24"/>
              <w:szCs w:val="24"/>
            </w:rPr>
            <w:fldChar w:fldCharType="end"/>
          </w:r>
          <w:r>
            <w:rPr>
              <w:rFonts w:hint="eastAsia" w:ascii="黑体" w:hAnsi="黑体" w:eastAsia="黑体" w:cs="黑体"/>
              <w:bCs/>
              <w:w w:val="85"/>
              <w:sz w:val="24"/>
              <w:szCs w:val="24"/>
            </w:rPr>
            <w:fldChar w:fldCharType="end"/>
          </w:r>
        </w:p>
        <w:p w14:paraId="6524FB3C">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_Toc16037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构建全面开放新格局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_Toc16037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DE95BB">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_Toc460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加快发展开放型经济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_Toc460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A5933A">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_Toc30513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深化重点领域改革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_Toc30513 </w:instrText>
          </w:r>
          <w:r>
            <w:rPr>
              <w:rFonts w:hint="eastAsia" w:ascii="宋体" w:hAnsi="宋体" w:eastAsia="宋体" w:cs="宋体"/>
              <w:sz w:val="24"/>
              <w:szCs w:val="24"/>
            </w:rPr>
            <w:fldChar w:fldCharType="separate"/>
          </w:r>
          <w:r>
            <w:rPr>
              <w:rFonts w:hint="eastAsia" w:ascii="宋体" w:hAnsi="宋体" w:eastAsia="宋体" w:cs="宋体"/>
              <w:sz w:val="24"/>
              <w:szCs w:val="24"/>
            </w:rPr>
            <w:t>102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762A7E">
          <w:pPr>
            <w:pStyle w:val="11"/>
            <w:tabs>
              <w:tab w:val="right" w:leader="dot" w:pos="6634"/>
            </w:tabs>
            <w:jc w:val="distribute"/>
            <w:rPr>
              <w:rFonts w:hint="eastAsia" w:ascii="黑体" w:hAnsi="黑体" w:eastAsia="黑体" w:cs="黑体"/>
              <w:w w:val="90"/>
              <w:sz w:val="24"/>
              <w:szCs w:val="24"/>
            </w:rPr>
          </w:pPr>
          <w:r>
            <w:rPr>
              <w:rFonts w:hint="eastAsia" w:ascii="黑体" w:hAnsi="黑体" w:eastAsia="黑体" w:cs="黑体"/>
              <w:bCs/>
              <w:w w:val="90"/>
              <w:sz w:val="24"/>
              <w:szCs w:val="24"/>
            </w:rPr>
            <w:fldChar w:fldCharType="begin"/>
          </w:r>
          <w:r>
            <w:rPr>
              <w:rFonts w:hint="eastAsia" w:ascii="黑体" w:hAnsi="黑体" w:eastAsia="黑体" w:cs="黑体"/>
              <w:bCs/>
              <w:w w:val="90"/>
              <w:sz w:val="24"/>
              <w:szCs w:val="24"/>
            </w:rPr>
            <w:instrText xml:space="preserve"> HYPERLINK \l _Toc27044 </w:instrText>
          </w:r>
          <w:r>
            <w:rPr>
              <w:rFonts w:hint="eastAsia" w:ascii="黑体" w:hAnsi="黑体" w:eastAsia="黑体" w:cs="黑体"/>
              <w:bCs/>
              <w:w w:val="90"/>
              <w:sz w:val="24"/>
              <w:szCs w:val="24"/>
            </w:rPr>
            <w:fldChar w:fldCharType="separate"/>
          </w:r>
          <w:r>
            <w:rPr>
              <w:rFonts w:hint="eastAsia" w:ascii="黑体" w:hAnsi="黑体" w:eastAsia="黑体" w:cs="黑体"/>
              <w:bCs/>
              <w:w w:val="90"/>
              <w:sz w:val="24"/>
              <w:szCs w:val="24"/>
            </w:rPr>
            <w:t>第十章</w:t>
          </w:r>
          <w:r>
            <w:rPr>
              <w:rFonts w:hint="eastAsia" w:ascii="黑体" w:hAnsi="黑体" w:eastAsia="黑体" w:cs="黑体"/>
              <w:bCs/>
              <w:w w:val="90"/>
              <w:sz w:val="24"/>
              <w:szCs w:val="24"/>
              <w:lang w:val="en-US" w:eastAsia="zh-CN"/>
            </w:rPr>
            <w:t xml:space="preserve"> </w:t>
          </w:r>
          <w:r>
            <w:rPr>
              <w:rFonts w:hint="eastAsia" w:ascii="黑体" w:hAnsi="黑体" w:eastAsia="黑体" w:cs="黑体"/>
              <w:bCs/>
              <w:w w:val="90"/>
              <w:sz w:val="24"/>
              <w:szCs w:val="24"/>
            </w:rPr>
            <w:t xml:space="preserve"> 强力推进基础设施建设，改善经济社会发展条件</w:t>
          </w:r>
          <w:r>
            <w:rPr>
              <w:rFonts w:hint="eastAsia" w:ascii="黑体" w:hAnsi="黑体" w:eastAsia="黑体" w:cs="黑体"/>
              <w:bCs/>
              <w:w w:val="90"/>
              <w:sz w:val="24"/>
              <w:szCs w:val="24"/>
            </w:rPr>
            <w:tab/>
          </w:r>
          <w:r>
            <w:rPr>
              <w:rFonts w:hint="eastAsia" w:ascii="黑体" w:hAnsi="黑体" w:eastAsia="黑体" w:cs="黑体"/>
              <w:bCs/>
              <w:w w:val="90"/>
              <w:sz w:val="24"/>
              <w:szCs w:val="24"/>
            </w:rPr>
            <w:fldChar w:fldCharType="begin"/>
          </w:r>
          <w:r>
            <w:rPr>
              <w:rFonts w:hint="eastAsia" w:ascii="黑体" w:hAnsi="黑体" w:eastAsia="黑体" w:cs="黑体"/>
              <w:bCs/>
              <w:w w:val="90"/>
              <w:sz w:val="24"/>
              <w:szCs w:val="24"/>
            </w:rPr>
            <w:instrText xml:space="preserve"> PAGEREF _Toc27044 </w:instrText>
          </w:r>
          <w:r>
            <w:rPr>
              <w:rFonts w:hint="eastAsia" w:ascii="黑体" w:hAnsi="黑体" w:eastAsia="黑体" w:cs="黑体"/>
              <w:bCs/>
              <w:w w:val="90"/>
              <w:sz w:val="24"/>
              <w:szCs w:val="24"/>
            </w:rPr>
            <w:fldChar w:fldCharType="separate"/>
          </w:r>
          <w:r>
            <w:rPr>
              <w:rFonts w:hint="eastAsia" w:ascii="黑体" w:hAnsi="黑体" w:eastAsia="黑体" w:cs="黑体"/>
              <w:bCs/>
              <w:w w:val="90"/>
              <w:sz w:val="24"/>
              <w:szCs w:val="24"/>
            </w:rPr>
            <w:t>104</w:t>
          </w:r>
          <w:r>
            <w:rPr>
              <w:rFonts w:hint="eastAsia" w:ascii="黑体" w:hAnsi="黑体" w:eastAsia="黑体" w:cs="黑体"/>
              <w:bCs/>
              <w:w w:val="90"/>
              <w:sz w:val="24"/>
              <w:szCs w:val="24"/>
            </w:rPr>
            <w:fldChar w:fldCharType="end"/>
          </w:r>
          <w:r>
            <w:rPr>
              <w:rFonts w:hint="eastAsia" w:ascii="黑体" w:hAnsi="黑体" w:eastAsia="黑体" w:cs="黑体"/>
              <w:w w:val="90"/>
              <w:sz w:val="24"/>
              <w:szCs w:val="24"/>
            </w:rPr>
            <w:fldChar w:fldCharType="end"/>
          </w:r>
        </w:p>
        <w:p w14:paraId="1C01C6E9">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w w:val="93"/>
              <w:sz w:val="24"/>
              <w:szCs w:val="24"/>
            </w:rPr>
            <w:fldChar w:fldCharType="begin"/>
          </w:r>
          <w:r>
            <w:rPr>
              <w:rFonts w:hint="eastAsia" w:ascii="宋体" w:hAnsi="宋体" w:eastAsia="宋体" w:cs="宋体"/>
              <w:w w:val="93"/>
              <w:sz w:val="24"/>
              <w:szCs w:val="24"/>
            </w:rPr>
            <w:instrText xml:space="preserve"> HYPERLINK \l _Toc11479 </w:instrText>
          </w:r>
          <w:r>
            <w:rPr>
              <w:rFonts w:hint="eastAsia" w:ascii="宋体" w:hAnsi="宋体" w:eastAsia="宋体" w:cs="宋体"/>
              <w:w w:val="93"/>
              <w:sz w:val="24"/>
              <w:szCs w:val="24"/>
            </w:rPr>
            <w:fldChar w:fldCharType="separate"/>
          </w:r>
          <w:r>
            <w:rPr>
              <w:rFonts w:hint="eastAsia" w:ascii="宋体" w:hAnsi="宋体" w:eastAsia="宋体" w:cs="宋体"/>
              <w:w w:val="93"/>
              <w:sz w:val="24"/>
              <w:szCs w:val="24"/>
            </w:rPr>
            <w:t>第一节 完善交通基础设施网络，</w:t>
          </w:r>
          <w:r>
            <w:rPr>
              <w:rFonts w:hint="eastAsia" w:ascii="宋体" w:hAnsi="宋体" w:eastAsia="宋体" w:cs="宋体"/>
              <w:w w:val="93"/>
              <w:sz w:val="24"/>
              <w:szCs w:val="24"/>
            </w:rPr>
            <w:fldChar w:fldCharType="end"/>
          </w:r>
          <w:r>
            <w:rPr>
              <w:rFonts w:hint="eastAsia" w:ascii="宋体" w:hAnsi="宋体" w:eastAsia="宋体" w:cs="宋体"/>
              <w:w w:val="93"/>
              <w:sz w:val="24"/>
              <w:szCs w:val="24"/>
            </w:rPr>
            <w:fldChar w:fldCharType="begin"/>
          </w:r>
          <w:r>
            <w:rPr>
              <w:rFonts w:hint="eastAsia" w:ascii="宋体" w:hAnsi="宋体" w:eastAsia="宋体" w:cs="宋体"/>
              <w:w w:val="93"/>
              <w:sz w:val="24"/>
              <w:szCs w:val="24"/>
            </w:rPr>
            <w:instrText xml:space="preserve"> HYPERLINK \l _Toc7246 </w:instrText>
          </w:r>
          <w:r>
            <w:rPr>
              <w:rFonts w:hint="eastAsia" w:ascii="宋体" w:hAnsi="宋体" w:eastAsia="宋体" w:cs="宋体"/>
              <w:w w:val="93"/>
              <w:sz w:val="24"/>
              <w:szCs w:val="24"/>
            </w:rPr>
            <w:fldChar w:fldCharType="separate"/>
          </w:r>
          <w:r>
            <w:rPr>
              <w:rFonts w:hint="eastAsia" w:ascii="宋体" w:hAnsi="宋体" w:eastAsia="宋体" w:cs="宋体"/>
              <w:w w:val="93"/>
              <w:sz w:val="24"/>
              <w:szCs w:val="24"/>
            </w:rPr>
            <w:t>构建现代综合交通体系</w:t>
          </w:r>
          <w:r>
            <w:rPr>
              <w:rFonts w:hint="eastAsia" w:ascii="宋体" w:hAnsi="宋体" w:eastAsia="宋体" w:cs="宋体"/>
              <w:w w:val="93"/>
              <w:sz w:val="24"/>
              <w:szCs w:val="24"/>
            </w:rPr>
            <w:tab/>
          </w:r>
          <w:r>
            <w:rPr>
              <w:rFonts w:hint="eastAsia" w:ascii="宋体" w:hAnsi="宋体" w:eastAsia="宋体" w:cs="宋体"/>
              <w:w w:val="93"/>
              <w:sz w:val="24"/>
              <w:szCs w:val="24"/>
            </w:rPr>
            <w:fldChar w:fldCharType="begin"/>
          </w:r>
          <w:r>
            <w:rPr>
              <w:rFonts w:hint="eastAsia" w:ascii="宋体" w:hAnsi="宋体" w:eastAsia="宋体" w:cs="宋体"/>
              <w:w w:val="93"/>
              <w:sz w:val="24"/>
              <w:szCs w:val="24"/>
            </w:rPr>
            <w:instrText xml:space="preserve"> PAGEREF _Toc7246 </w:instrText>
          </w:r>
          <w:r>
            <w:rPr>
              <w:rFonts w:hint="eastAsia" w:ascii="宋体" w:hAnsi="宋体" w:eastAsia="宋体" w:cs="宋体"/>
              <w:w w:val="93"/>
              <w:sz w:val="24"/>
              <w:szCs w:val="24"/>
            </w:rPr>
            <w:fldChar w:fldCharType="separate"/>
          </w:r>
          <w:r>
            <w:rPr>
              <w:rFonts w:hint="eastAsia" w:ascii="宋体" w:hAnsi="宋体" w:eastAsia="宋体" w:cs="宋体"/>
              <w:w w:val="93"/>
              <w:sz w:val="24"/>
              <w:szCs w:val="24"/>
            </w:rPr>
            <w:t>104</w:t>
          </w:r>
          <w:r>
            <w:rPr>
              <w:rFonts w:hint="eastAsia" w:ascii="宋体" w:hAnsi="宋体" w:eastAsia="宋体" w:cs="宋体"/>
              <w:w w:val="93"/>
              <w:sz w:val="24"/>
              <w:szCs w:val="24"/>
            </w:rPr>
            <w:fldChar w:fldCharType="end"/>
          </w:r>
          <w:r>
            <w:rPr>
              <w:rFonts w:hint="eastAsia" w:ascii="宋体" w:hAnsi="宋体" w:eastAsia="宋体" w:cs="宋体"/>
              <w:w w:val="93"/>
              <w:sz w:val="24"/>
              <w:szCs w:val="24"/>
            </w:rPr>
            <w:fldChar w:fldCharType="end"/>
          </w:r>
        </w:p>
        <w:p w14:paraId="42A5484A">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w w:val="85"/>
              <w:sz w:val="24"/>
              <w:szCs w:val="24"/>
            </w:rPr>
            <w:fldChar w:fldCharType="begin"/>
          </w:r>
          <w:r>
            <w:rPr>
              <w:rFonts w:hint="eastAsia" w:ascii="宋体" w:hAnsi="宋体" w:eastAsia="宋体" w:cs="宋体"/>
              <w:w w:val="85"/>
              <w:sz w:val="24"/>
              <w:szCs w:val="24"/>
            </w:rPr>
            <w:instrText xml:space="preserve"> HYPERLINK \l _Toc18598 </w:instrText>
          </w:r>
          <w:r>
            <w:rPr>
              <w:rFonts w:hint="eastAsia" w:ascii="宋体" w:hAnsi="宋体" w:eastAsia="宋体" w:cs="宋体"/>
              <w:w w:val="85"/>
              <w:sz w:val="24"/>
              <w:szCs w:val="24"/>
            </w:rPr>
            <w:fldChar w:fldCharType="separate"/>
          </w:r>
          <w:r>
            <w:rPr>
              <w:rFonts w:hint="eastAsia" w:ascii="宋体" w:hAnsi="宋体" w:eastAsia="宋体" w:cs="宋体"/>
              <w:bCs/>
              <w:w w:val="85"/>
              <w:sz w:val="24"/>
              <w:szCs w:val="24"/>
            </w:rPr>
            <w:t>第二节 加强水利基础设施网络建设,构筑现代水利保障体系</w:t>
          </w:r>
          <w:r>
            <w:rPr>
              <w:rFonts w:hint="eastAsia" w:ascii="宋体" w:hAnsi="宋体" w:eastAsia="宋体" w:cs="宋体"/>
              <w:w w:val="85"/>
              <w:sz w:val="24"/>
              <w:szCs w:val="24"/>
            </w:rPr>
            <w:tab/>
          </w:r>
          <w:r>
            <w:rPr>
              <w:rFonts w:hint="eastAsia" w:ascii="宋体" w:hAnsi="宋体" w:eastAsia="宋体" w:cs="宋体"/>
              <w:w w:val="85"/>
              <w:sz w:val="24"/>
              <w:szCs w:val="24"/>
            </w:rPr>
            <w:fldChar w:fldCharType="begin"/>
          </w:r>
          <w:r>
            <w:rPr>
              <w:rFonts w:hint="eastAsia" w:ascii="宋体" w:hAnsi="宋体" w:eastAsia="宋体" w:cs="宋体"/>
              <w:w w:val="85"/>
              <w:sz w:val="24"/>
              <w:szCs w:val="24"/>
            </w:rPr>
            <w:instrText xml:space="preserve"> PAGEREF _Toc18598 </w:instrText>
          </w:r>
          <w:r>
            <w:rPr>
              <w:rFonts w:hint="eastAsia" w:ascii="宋体" w:hAnsi="宋体" w:eastAsia="宋体" w:cs="宋体"/>
              <w:w w:val="85"/>
              <w:sz w:val="24"/>
              <w:szCs w:val="24"/>
            </w:rPr>
            <w:fldChar w:fldCharType="separate"/>
          </w:r>
          <w:r>
            <w:rPr>
              <w:rFonts w:hint="eastAsia" w:ascii="宋体" w:hAnsi="宋体" w:eastAsia="宋体" w:cs="宋体"/>
              <w:w w:val="85"/>
              <w:sz w:val="24"/>
              <w:szCs w:val="24"/>
            </w:rPr>
            <w:t>108</w:t>
          </w:r>
          <w:r>
            <w:rPr>
              <w:rFonts w:hint="eastAsia" w:ascii="宋体" w:hAnsi="宋体" w:eastAsia="宋体" w:cs="宋体"/>
              <w:w w:val="85"/>
              <w:sz w:val="24"/>
              <w:szCs w:val="24"/>
            </w:rPr>
            <w:fldChar w:fldCharType="end"/>
          </w:r>
          <w:r>
            <w:rPr>
              <w:rFonts w:hint="eastAsia" w:ascii="宋体" w:hAnsi="宋体" w:eastAsia="宋体" w:cs="宋体"/>
              <w:w w:val="85"/>
              <w:sz w:val="24"/>
              <w:szCs w:val="24"/>
            </w:rPr>
            <w:fldChar w:fldCharType="end"/>
          </w:r>
        </w:p>
        <w:p w14:paraId="3817302A">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_Toc8596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加强能源基础设施建设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_Toc8596 </w:instrText>
          </w:r>
          <w:r>
            <w:rPr>
              <w:rFonts w:hint="eastAsia" w:ascii="宋体" w:hAnsi="宋体" w:eastAsia="宋体" w:cs="宋体"/>
              <w:sz w:val="24"/>
              <w:szCs w:val="24"/>
            </w:rPr>
            <w:fldChar w:fldCharType="separate"/>
          </w:r>
          <w:r>
            <w:rPr>
              <w:rFonts w:hint="eastAsia" w:ascii="宋体" w:hAnsi="宋体" w:eastAsia="宋体" w:cs="宋体"/>
              <w:sz w:val="24"/>
              <w:szCs w:val="24"/>
            </w:rPr>
            <w:t>111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5A1665">
          <w:pPr>
            <w:pStyle w:val="11"/>
            <w:tabs>
              <w:tab w:val="right" w:leader="dot" w:pos="6634"/>
            </w:tabs>
            <w:jc w:val="distribute"/>
            <w:rPr>
              <w:rFonts w:hint="eastAsia" w:ascii="黑体" w:hAnsi="黑体" w:eastAsia="黑体" w:cs="黑体"/>
              <w:bCs/>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_Toc21080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第十一章  大力发展现代服务业，促进消费扩容提质</w:t>
          </w:r>
          <w:r>
            <w:rPr>
              <w:rFonts w:hint="eastAsia" w:ascii="黑体" w:hAnsi="黑体" w:eastAsia="黑体" w:cs="黑体"/>
              <w:bCs/>
              <w:sz w:val="24"/>
              <w:szCs w:val="24"/>
            </w:rPr>
            <w:tab/>
          </w: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PAGEREF _Toc21080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114</w:t>
          </w:r>
          <w:r>
            <w:rPr>
              <w:rFonts w:hint="eastAsia" w:ascii="黑体" w:hAnsi="黑体" w:eastAsia="黑体" w:cs="黑体"/>
              <w:bCs/>
              <w:sz w:val="24"/>
              <w:szCs w:val="24"/>
            </w:rPr>
            <w:fldChar w:fldCharType="end"/>
          </w:r>
          <w:r>
            <w:rPr>
              <w:rFonts w:hint="eastAsia" w:ascii="黑体" w:hAnsi="黑体" w:eastAsia="黑体" w:cs="黑体"/>
              <w:bCs/>
              <w:sz w:val="24"/>
              <w:szCs w:val="24"/>
            </w:rPr>
            <w:fldChar w:fldCharType="end"/>
          </w:r>
        </w:p>
        <w:p w14:paraId="6849F0DF">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_Toc19734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完善商贸物流体系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_Toc19734 </w:instrText>
          </w:r>
          <w:r>
            <w:rPr>
              <w:rFonts w:hint="eastAsia" w:ascii="宋体" w:hAnsi="宋体" w:eastAsia="宋体" w:cs="宋体"/>
              <w:sz w:val="24"/>
              <w:szCs w:val="24"/>
            </w:rPr>
            <w:fldChar w:fldCharType="separate"/>
          </w:r>
          <w:r>
            <w:rPr>
              <w:rFonts w:hint="eastAsia" w:ascii="宋体" w:hAnsi="宋体" w:eastAsia="宋体" w:cs="宋体"/>
              <w:sz w:val="24"/>
              <w:szCs w:val="24"/>
            </w:rPr>
            <w:t>114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8BE624">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_Toc13993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大力促进消费提档升级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_Toc13993 </w:instrText>
          </w:r>
          <w:r>
            <w:rPr>
              <w:rFonts w:hint="eastAsia" w:ascii="宋体" w:hAnsi="宋体" w:eastAsia="宋体" w:cs="宋体"/>
              <w:sz w:val="24"/>
              <w:szCs w:val="24"/>
            </w:rPr>
            <w:fldChar w:fldCharType="separate"/>
          </w:r>
          <w:r>
            <w:rPr>
              <w:rFonts w:hint="eastAsia" w:ascii="宋体" w:hAnsi="宋体" w:eastAsia="宋体" w:cs="宋体"/>
              <w:sz w:val="24"/>
              <w:szCs w:val="24"/>
            </w:rPr>
            <w:t>115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70635C">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_Toc10679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加速发展其他服务业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_Toc10679 </w:instrText>
          </w:r>
          <w:r>
            <w:rPr>
              <w:rFonts w:hint="eastAsia" w:ascii="宋体" w:hAnsi="宋体" w:eastAsia="宋体" w:cs="宋体"/>
              <w:sz w:val="24"/>
              <w:szCs w:val="24"/>
            </w:rPr>
            <w:fldChar w:fldCharType="separate"/>
          </w:r>
          <w:r>
            <w:rPr>
              <w:rFonts w:hint="eastAsia" w:ascii="宋体" w:hAnsi="宋体" w:eastAsia="宋体" w:cs="宋体"/>
              <w:sz w:val="24"/>
              <w:szCs w:val="24"/>
            </w:rPr>
            <w:t>117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AD762A">
          <w:pPr>
            <w:pStyle w:val="11"/>
            <w:tabs>
              <w:tab w:val="right" w:leader="dot" w:pos="6634"/>
            </w:tabs>
            <w:jc w:val="distribute"/>
            <w:rPr>
              <w:rFonts w:hint="eastAsia" w:ascii="黑体" w:hAnsi="黑体" w:eastAsia="黑体" w:cs="黑体"/>
              <w:bCs/>
              <w:w w:val="80"/>
              <w:sz w:val="24"/>
              <w:szCs w:val="24"/>
            </w:rPr>
          </w:pPr>
          <w:r>
            <w:rPr>
              <w:rFonts w:hint="eastAsia" w:ascii="黑体" w:hAnsi="黑体" w:eastAsia="黑体" w:cs="黑体"/>
              <w:bCs/>
              <w:w w:val="80"/>
              <w:sz w:val="24"/>
              <w:szCs w:val="24"/>
            </w:rPr>
            <w:fldChar w:fldCharType="begin"/>
          </w:r>
          <w:r>
            <w:rPr>
              <w:rFonts w:hint="eastAsia" w:ascii="黑体" w:hAnsi="黑体" w:eastAsia="黑体" w:cs="黑体"/>
              <w:bCs/>
              <w:w w:val="80"/>
              <w:sz w:val="24"/>
              <w:szCs w:val="24"/>
            </w:rPr>
            <w:instrText xml:space="preserve"> HYPERLINK \l _Toc18856 </w:instrText>
          </w:r>
          <w:r>
            <w:rPr>
              <w:rFonts w:hint="eastAsia" w:ascii="黑体" w:hAnsi="黑体" w:eastAsia="黑体" w:cs="黑体"/>
              <w:bCs/>
              <w:w w:val="80"/>
              <w:sz w:val="24"/>
              <w:szCs w:val="24"/>
            </w:rPr>
            <w:fldChar w:fldCharType="separate"/>
          </w:r>
          <w:r>
            <w:rPr>
              <w:rFonts w:hint="eastAsia" w:ascii="黑体" w:hAnsi="黑体" w:eastAsia="黑体" w:cs="黑体"/>
              <w:bCs/>
              <w:w w:val="80"/>
              <w:sz w:val="24"/>
              <w:szCs w:val="24"/>
            </w:rPr>
            <w:t>第十二章  坚持发展成果共享，不断满足人民群众对美好生活的新期待</w:t>
          </w:r>
          <w:r>
            <w:rPr>
              <w:rFonts w:hint="eastAsia" w:ascii="黑体" w:hAnsi="黑体" w:eastAsia="黑体" w:cs="黑体"/>
              <w:bCs/>
              <w:w w:val="80"/>
              <w:sz w:val="24"/>
              <w:szCs w:val="24"/>
            </w:rPr>
            <w:tab/>
          </w:r>
          <w:r>
            <w:rPr>
              <w:rFonts w:hint="eastAsia" w:ascii="黑体" w:hAnsi="黑体" w:eastAsia="黑体" w:cs="黑体"/>
              <w:bCs/>
              <w:w w:val="80"/>
              <w:sz w:val="24"/>
              <w:szCs w:val="24"/>
            </w:rPr>
            <w:fldChar w:fldCharType="begin"/>
          </w:r>
          <w:r>
            <w:rPr>
              <w:rFonts w:hint="eastAsia" w:ascii="黑体" w:hAnsi="黑体" w:eastAsia="黑体" w:cs="黑体"/>
              <w:bCs/>
              <w:w w:val="80"/>
              <w:sz w:val="24"/>
              <w:szCs w:val="24"/>
            </w:rPr>
            <w:instrText xml:space="preserve"> PAGEREF _Toc18856 </w:instrText>
          </w:r>
          <w:r>
            <w:rPr>
              <w:rFonts w:hint="eastAsia" w:ascii="黑体" w:hAnsi="黑体" w:eastAsia="黑体" w:cs="黑体"/>
              <w:bCs/>
              <w:w w:val="80"/>
              <w:sz w:val="24"/>
              <w:szCs w:val="24"/>
            </w:rPr>
            <w:fldChar w:fldCharType="separate"/>
          </w:r>
          <w:r>
            <w:rPr>
              <w:rFonts w:hint="eastAsia" w:ascii="黑体" w:hAnsi="黑体" w:eastAsia="黑体" w:cs="黑体"/>
              <w:bCs/>
              <w:w w:val="80"/>
              <w:sz w:val="24"/>
              <w:szCs w:val="24"/>
            </w:rPr>
            <w:t>120</w:t>
          </w:r>
          <w:r>
            <w:rPr>
              <w:rFonts w:hint="eastAsia" w:ascii="黑体" w:hAnsi="黑体" w:eastAsia="黑体" w:cs="黑体"/>
              <w:bCs/>
              <w:w w:val="80"/>
              <w:sz w:val="24"/>
              <w:szCs w:val="24"/>
            </w:rPr>
            <w:fldChar w:fldCharType="end"/>
          </w:r>
          <w:r>
            <w:rPr>
              <w:rFonts w:hint="eastAsia" w:ascii="黑体" w:hAnsi="黑体" w:eastAsia="黑体" w:cs="黑体"/>
              <w:bCs/>
              <w:w w:val="80"/>
              <w:sz w:val="24"/>
              <w:szCs w:val="24"/>
            </w:rPr>
            <w:fldChar w:fldCharType="end"/>
          </w:r>
        </w:p>
        <w:p w14:paraId="4A2CF9F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_Toc9528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繁荣发展文化事业和文化产业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_Toc9528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DC0D20">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_Toc11344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千方百计扩大就业促进创业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_Toc11344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75C1AC">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_Toc9692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推动教育高质量发展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_Toc9692 </w:instrText>
          </w:r>
          <w:r>
            <w:rPr>
              <w:rFonts w:hint="eastAsia" w:ascii="宋体" w:hAnsi="宋体" w:eastAsia="宋体" w:cs="宋体"/>
              <w:sz w:val="24"/>
              <w:szCs w:val="24"/>
            </w:rPr>
            <w:fldChar w:fldCharType="separate"/>
          </w:r>
          <w:r>
            <w:rPr>
              <w:rFonts w:hint="eastAsia" w:ascii="宋体" w:hAnsi="宋体" w:eastAsia="宋体" w:cs="宋体"/>
              <w:sz w:val="24"/>
              <w:szCs w:val="24"/>
            </w:rPr>
            <w:t>126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9313CB">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_Toc14380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加快推进健康绥阳建设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_Toc14380 </w:instrText>
          </w:r>
          <w:r>
            <w:rPr>
              <w:rFonts w:hint="eastAsia" w:ascii="宋体" w:hAnsi="宋体" w:eastAsia="宋体" w:cs="宋体"/>
              <w:sz w:val="24"/>
              <w:szCs w:val="24"/>
            </w:rPr>
            <w:fldChar w:fldCharType="separate"/>
          </w:r>
          <w:r>
            <w:rPr>
              <w:rFonts w:hint="eastAsia" w:ascii="宋体" w:hAnsi="宋体" w:eastAsia="宋体" w:cs="宋体"/>
              <w:sz w:val="24"/>
              <w:szCs w:val="24"/>
            </w:rPr>
            <w:t>132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8B8E5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_Toc16913 </w:instrText>
          </w:r>
          <w:r>
            <w:rPr>
              <w:rFonts w:hint="eastAsia" w:ascii="宋体" w:hAnsi="宋体" w:eastAsia="宋体" w:cs="宋体"/>
              <w:sz w:val="24"/>
              <w:szCs w:val="24"/>
            </w:rPr>
            <w:fldChar w:fldCharType="separate"/>
          </w:r>
          <w:r>
            <w:rPr>
              <w:rFonts w:hint="eastAsia" w:ascii="宋体" w:hAnsi="宋体" w:eastAsia="宋体" w:cs="宋体"/>
              <w:sz w:val="24"/>
              <w:szCs w:val="24"/>
            </w:rPr>
            <w:t>第五节 健全多层次社会保障体系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_Toc16913 </w:instrText>
          </w:r>
          <w:r>
            <w:rPr>
              <w:rFonts w:hint="eastAsia" w:ascii="宋体" w:hAnsi="宋体" w:eastAsia="宋体" w:cs="宋体"/>
              <w:sz w:val="24"/>
              <w:szCs w:val="24"/>
            </w:rPr>
            <w:fldChar w:fldCharType="separate"/>
          </w:r>
          <w:r>
            <w:rPr>
              <w:rFonts w:hint="eastAsia" w:ascii="宋体" w:hAnsi="宋体" w:eastAsia="宋体" w:cs="宋体"/>
              <w:sz w:val="24"/>
              <w:szCs w:val="24"/>
            </w:rPr>
            <w:t>138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ADCAD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_Toc26834 </w:instrText>
          </w:r>
          <w:r>
            <w:rPr>
              <w:rFonts w:hint="eastAsia" w:ascii="宋体" w:hAnsi="宋体" w:eastAsia="宋体" w:cs="宋体"/>
              <w:sz w:val="24"/>
              <w:szCs w:val="24"/>
            </w:rPr>
            <w:fldChar w:fldCharType="separate"/>
          </w:r>
          <w:r>
            <w:rPr>
              <w:rFonts w:hint="eastAsia" w:ascii="宋体" w:hAnsi="宋体" w:eastAsia="宋体" w:cs="宋体"/>
              <w:sz w:val="24"/>
              <w:szCs w:val="24"/>
            </w:rPr>
            <w:t>第六节 落实积极应对人口老龄化国家战略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_Toc26834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D59C2A">
          <w:pPr>
            <w:pStyle w:val="11"/>
            <w:tabs>
              <w:tab w:val="right" w:leader="dot" w:pos="6634"/>
            </w:tabs>
            <w:jc w:val="distribute"/>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_Toc21101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第十三章  统筹发展和安全，营造高质量发展良好环境</w:t>
          </w:r>
          <w:r>
            <w:rPr>
              <w:rFonts w:hint="eastAsia" w:ascii="黑体" w:hAnsi="黑体" w:eastAsia="黑体" w:cs="黑体"/>
              <w:bCs/>
              <w:sz w:val="24"/>
              <w:szCs w:val="24"/>
            </w:rPr>
            <w:tab/>
          </w: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PAGEREF _Toc21101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143</w:t>
          </w:r>
          <w:r>
            <w:rPr>
              <w:rFonts w:hint="eastAsia" w:ascii="黑体" w:hAnsi="黑体" w:eastAsia="黑体" w:cs="黑体"/>
              <w:bCs/>
              <w:sz w:val="24"/>
              <w:szCs w:val="24"/>
            </w:rPr>
            <w:fldChar w:fldCharType="end"/>
          </w:r>
          <w:r>
            <w:rPr>
              <w:rFonts w:hint="eastAsia" w:ascii="黑体" w:hAnsi="黑体" w:eastAsia="黑体" w:cs="黑体"/>
              <w:sz w:val="24"/>
              <w:szCs w:val="24"/>
            </w:rPr>
            <w:fldChar w:fldCharType="end"/>
          </w:r>
        </w:p>
        <w:p w14:paraId="2F14953B">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_Toc14966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建设更高水平的平安绥阳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_Toc14966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5738F6">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_Toc6270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大力推进法治绥阳建设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_Toc6270 </w:instrText>
          </w:r>
          <w:r>
            <w:rPr>
              <w:rFonts w:hint="eastAsia" w:ascii="宋体" w:hAnsi="宋体" w:eastAsia="宋体" w:cs="宋体"/>
              <w:sz w:val="24"/>
              <w:szCs w:val="24"/>
            </w:rPr>
            <w:fldChar w:fldCharType="separate"/>
          </w:r>
          <w:r>
            <w:rPr>
              <w:rFonts w:hint="eastAsia" w:ascii="宋体" w:hAnsi="宋体" w:eastAsia="宋体" w:cs="宋体"/>
              <w:sz w:val="24"/>
              <w:szCs w:val="24"/>
            </w:rPr>
            <w:t>146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3A685F">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加快推进社会治理模式创新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_Toc28140 </w:instrText>
          </w:r>
          <w:r>
            <w:rPr>
              <w:rFonts w:hint="eastAsia" w:ascii="宋体" w:hAnsi="宋体" w:eastAsia="宋体" w:cs="宋体"/>
              <w:sz w:val="24"/>
              <w:szCs w:val="24"/>
            </w:rPr>
            <w:fldChar w:fldCharType="separate"/>
          </w:r>
          <w:r>
            <w:rPr>
              <w:rFonts w:hint="eastAsia" w:ascii="宋体" w:hAnsi="宋体" w:eastAsia="宋体" w:cs="宋体"/>
              <w:sz w:val="24"/>
              <w:szCs w:val="24"/>
            </w:rPr>
            <w:t>150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59587D">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_Toc18756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防范化解重大风险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_Toc18756 </w:instrText>
          </w:r>
          <w:r>
            <w:rPr>
              <w:rFonts w:hint="eastAsia" w:ascii="宋体" w:hAnsi="宋体" w:eastAsia="宋体" w:cs="宋体"/>
              <w:sz w:val="24"/>
              <w:szCs w:val="24"/>
            </w:rPr>
            <w:fldChar w:fldCharType="separate"/>
          </w:r>
          <w:r>
            <w:rPr>
              <w:rFonts w:hint="eastAsia" w:ascii="宋体" w:hAnsi="宋体" w:eastAsia="宋体" w:cs="宋体"/>
              <w:sz w:val="24"/>
              <w:szCs w:val="24"/>
            </w:rPr>
            <w:t>152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2696FB">
          <w:pPr>
            <w:pStyle w:val="11"/>
            <w:tabs>
              <w:tab w:val="right" w:leader="dot" w:pos="6634"/>
            </w:tabs>
            <w:jc w:val="distribute"/>
            <w:rPr>
              <w:rFonts w:hint="eastAsia" w:ascii="黑体" w:hAnsi="黑体" w:eastAsia="黑体" w:cs="黑体"/>
              <w:w w:val="85"/>
              <w:sz w:val="24"/>
              <w:szCs w:val="24"/>
            </w:rPr>
          </w:pPr>
          <w:r>
            <w:rPr>
              <w:rFonts w:hint="eastAsia" w:ascii="黑体" w:hAnsi="黑体" w:eastAsia="黑体" w:cs="黑体"/>
              <w:bCs/>
              <w:w w:val="85"/>
              <w:sz w:val="24"/>
              <w:szCs w:val="24"/>
            </w:rPr>
            <w:fldChar w:fldCharType="begin"/>
          </w:r>
          <w:r>
            <w:rPr>
              <w:rFonts w:hint="eastAsia" w:ascii="黑体" w:hAnsi="黑体" w:eastAsia="黑体" w:cs="黑体"/>
              <w:bCs/>
              <w:w w:val="85"/>
              <w:sz w:val="24"/>
              <w:szCs w:val="24"/>
            </w:rPr>
            <w:instrText xml:space="preserve"> HYPERLINK \l _Toc26055 </w:instrText>
          </w:r>
          <w:r>
            <w:rPr>
              <w:rFonts w:hint="eastAsia" w:ascii="黑体" w:hAnsi="黑体" w:eastAsia="黑体" w:cs="黑体"/>
              <w:bCs/>
              <w:w w:val="85"/>
              <w:sz w:val="24"/>
              <w:szCs w:val="24"/>
            </w:rPr>
            <w:fldChar w:fldCharType="separate"/>
          </w:r>
          <w:r>
            <w:rPr>
              <w:rFonts w:hint="eastAsia" w:ascii="黑体" w:hAnsi="黑体" w:eastAsia="黑体" w:cs="黑体"/>
              <w:bCs/>
              <w:w w:val="85"/>
              <w:sz w:val="24"/>
              <w:szCs w:val="24"/>
            </w:rPr>
            <w:t>第十四章  全面加强党的领导，为县域经济高质量发展提供坚强保证</w:t>
          </w:r>
          <w:r>
            <w:rPr>
              <w:rFonts w:hint="eastAsia" w:ascii="黑体" w:hAnsi="黑体" w:eastAsia="黑体" w:cs="黑体"/>
              <w:bCs/>
              <w:w w:val="85"/>
              <w:sz w:val="24"/>
              <w:szCs w:val="24"/>
            </w:rPr>
            <w:tab/>
          </w:r>
          <w:r>
            <w:rPr>
              <w:rFonts w:hint="eastAsia" w:ascii="黑体" w:hAnsi="黑体" w:eastAsia="黑体" w:cs="黑体"/>
              <w:bCs/>
              <w:w w:val="85"/>
              <w:sz w:val="24"/>
              <w:szCs w:val="24"/>
            </w:rPr>
            <w:fldChar w:fldCharType="begin"/>
          </w:r>
          <w:r>
            <w:rPr>
              <w:rFonts w:hint="eastAsia" w:ascii="黑体" w:hAnsi="黑体" w:eastAsia="黑体" w:cs="黑体"/>
              <w:bCs/>
              <w:w w:val="85"/>
              <w:sz w:val="24"/>
              <w:szCs w:val="24"/>
            </w:rPr>
            <w:instrText xml:space="preserve"> PAGEREF _Toc26055 </w:instrText>
          </w:r>
          <w:r>
            <w:rPr>
              <w:rFonts w:hint="eastAsia" w:ascii="黑体" w:hAnsi="黑体" w:eastAsia="黑体" w:cs="黑体"/>
              <w:bCs/>
              <w:w w:val="85"/>
              <w:sz w:val="24"/>
              <w:szCs w:val="24"/>
            </w:rPr>
            <w:fldChar w:fldCharType="separate"/>
          </w:r>
          <w:r>
            <w:rPr>
              <w:rFonts w:hint="eastAsia" w:ascii="黑体" w:hAnsi="黑体" w:eastAsia="黑体" w:cs="黑体"/>
              <w:bCs/>
              <w:w w:val="85"/>
              <w:sz w:val="24"/>
              <w:szCs w:val="24"/>
            </w:rPr>
            <w:t>156</w:t>
          </w:r>
          <w:r>
            <w:rPr>
              <w:rFonts w:hint="eastAsia" w:ascii="黑体" w:hAnsi="黑体" w:eastAsia="黑体" w:cs="黑体"/>
              <w:bCs/>
              <w:w w:val="85"/>
              <w:sz w:val="24"/>
              <w:szCs w:val="24"/>
            </w:rPr>
            <w:fldChar w:fldCharType="end"/>
          </w:r>
          <w:r>
            <w:rPr>
              <w:rFonts w:hint="eastAsia" w:ascii="黑体" w:hAnsi="黑体" w:eastAsia="黑体" w:cs="黑体"/>
              <w:w w:val="85"/>
              <w:sz w:val="24"/>
              <w:szCs w:val="24"/>
            </w:rPr>
            <w:fldChar w:fldCharType="end"/>
          </w:r>
        </w:p>
        <w:p w14:paraId="06982227">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坚持和加强党的领导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 </w:instrText>
          </w:r>
          <w:r>
            <w:rPr>
              <w:rFonts w:hint="eastAsia" w:ascii="宋体" w:hAnsi="宋体" w:eastAsia="宋体" w:cs="宋体"/>
              <w:sz w:val="24"/>
              <w:szCs w:val="24"/>
            </w:rPr>
            <w:fldChar w:fldCharType="separate"/>
          </w:r>
          <w:r>
            <w:rPr>
              <w:rFonts w:hint="eastAsia" w:ascii="宋体" w:hAnsi="宋体" w:eastAsia="宋体" w:cs="宋体"/>
              <w:sz w:val="24"/>
              <w:szCs w:val="24"/>
            </w:rPr>
            <w:t>156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9D4B12">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_Toc11651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完善规划落实机制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_Toc11651 </w:instrText>
          </w:r>
          <w:r>
            <w:rPr>
              <w:rFonts w:hint="eastAsia" w:ascii="宋体" w:hAnsi="宋体" w:eastAsia="宋体" w:cs="宋体"/>
              <w:sz w:val="24"/>
              <w:szCs w:val="24"/>
            </w:rPr>
            <w:fldChar w:fldCharType="separate"/>
          </w:r>
          <w:r>
            <w:rPr>
              <w:rFonts w:hint="eastAsia" w:ascii="宋体" w:hAnsi="宋体" w:eastAsia="宋体" w:cs="宋体"/>
              <w:sz w:val="24"/>
              <w:szCs w:val="24"/>
            </w:rPr>
            <w:t>156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362F3A">
          <w:pPr>
            <w:pStyle w:val="13"/>
            <w:tabs>
              <w:tab w:val="right" w:leader="dot" w:pos="6634"/>
            </w:tabs>
            <w:jc w:val="distribut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_Toc2239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强化项目支撑及要素保障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_Toc2239 </w:instrText>
          </w:r>
          <w:r>
            <w:rPr>
              <w:rFonts w:hint="eastAsia" w:ascii="宋体" w:hAnsi="宋体" w:eastAsia="宋体" w:cs="宋体"/>
              <w:sz w:val="24"/>
              <w:szCs w:val="24"/>
            </w:rPr>
            <w:fldChar w:fldCharType="separate"/>
          </w:r>
          <w:r>
            <w:rPr>
              <w:rFonts w:hint="eastAsia" w:ascii="宋体" w:hAnsi="宋体" w:eastAsia="宋体" w:cs="宋体"/>
              <w:sz w:val="24"/>
              <w:szCs w:val="24"/>
            </w:rPr>
            <w:t>157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A15E3D">
          <w:pPr>
            <w:pStyle w:val="13"/>
            <w:tabs>
              <w:tab w:val="right" w:leader="dot" w:pos="6634"/>
            </w:tabs>
            <w:jc w:val="distribute"/>
            <w:rPr>
              <w:rFonts w:ascii="仿宋" w:hAnsi="仿宋" w:eastAsia="仿宋"/>
              <w:sz w:val="48"/>
              <w:szCs w:val="4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_Toc722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 健全评估监督机制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_Toc722 </w:instrText>
          </w:r>
          <w:r>
            <w:rPr>
              <w:rFonts w:hint="eastAsia" w:ascii="宋体" w:hAnsi="宋体" w:eastAsia="宋体" w:cs="宋体"/>
              <w:sz w:val="24"/>
              <w:szCs w:val="24"/>
            </w:rPr>
            <w:fldChar w:fldCharType="separate"/>
          </w:r>
          <w:r>
            <w:rPr>
              <w:rFonts w:hint="eastAsia" w:ascii="宋体" w:hAnsi="宋体" w:eastAsia="宋体" w:cs="宋体"/>
              <w:sz w:val="24"/>
              <w:szCs w:val="24"/>
            </w:rPr>
            <w:t>158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Cs w:val="48"/>
            </w:rPr>
            <w:fldChar w:fldCharType="end"/>
          </w:r>
        </w:p>
      </w:sdtContent>
    </w:sdt>
    <w:p w14:paraId="7D469F59">
      <w:pPr>
        <w:tabs>
          <w:tab w:val="center" w:pos="4153"/>
          <w:tab w:val="right" w:pos="8306"/>
        </w:tabs>
        <w:adjustRightInd w:val="0"/>
        <w:spacing w:line="600" w:lineRule="exact"/>
        <w:jc w:val="center"/>
        <w:outlineLvl w:val="0"/>
        <w:rPr>
          <w:rFonts w:hint="eastAsia" w:ascii="方正小标宋简体" w:hAnsi="方正小标宋简体" w:eastAsia="方正小标宋简体" w:cs="方正小标宋简体"/>
          <w:bCs/>
          <w:sz w:val="36"/>
          <w:szCs w:val="36"/>
        </w:rPr>
        <w:sectPr>
          <w:headerReference r:id="rId8" w:type="default"/>
          <w:footerReference r:id="rId9" w:type="default"/>
          <w:pgSz w:w="8392" w:h="11850"/>
          <w:pgMar w:top="1247" w:right="879" w:bottom="1020" w:left="879" w:header="851" w:footer="992" w:gutter="0"/>
          <w:pgNumType w:fmt="upperRoman" w:start="1"/>
          <w:cols w:space="425" w:num="1"/>
          <w:rtlGutter w:val="0"/>
          <w:docGrid w:type="lines" w:linePitch="456" w:charSpace="0"/>
        </w:sectPr>
      </w:pPr>
      <w:bookmarkStart w:id="11" w:name="_Toc2637"/>
      <w:bookmarkStart w:id="12" w:name="_Toc24094"/>
    </w:p>
    <w:p w14:paraId="1589048E">
      <w:pPr>
        <w:tabs>
          <w:tab w:val="center" w:pos="4153"/>
          <w:tab w:val="right" w:pos="8306"/>
        </w:tabs>
        <w:adjustRightInd w:val="0"/>
        <w:spacing w:line="600" w:lineRule="exact"/>
        <w:jc w:val="center"/>
        <w:outlineLvl w:val="0"/>
        <w:rPr>
          <w:rFonts w:hint="eastAsia" w:ascii="宋体" w:hAnsi="宋体" w:eastAsia="宋体" w:cs="宋体"/>
          <w:b/>
          <w:bCs w:val="0"/>
          <w:sz w:val="36"/>
          <w:szCs w:val="36"/>
        </w:rPr>
      </w:pPr>
      <w:r>
        <w:rPr>
          <w:rFonts w:hint="eastAsia" w:ascii="宋体" w:hAnsi="宋体" w:eastAsia="宋体" w:cs="宋体"/>
          <w:b/>
          <w:bCs w:val="0"/>
          <w:sz w:val="36"/>
          <w:szCs w:val="36"/>
        </w:rPr>
        <w:t>第一章  “十三五”时期我县经济社会</w:t>
      </w:r>
      <w:bookmarkEnd w:id="11"/>
      <w:r>
        <w:rPr>
          <w:rFonts w:hint="eastAsia" w:ascii="宋体" w:hAnsi="宋体" w:eastAsia="宋体" w:cs="宋体"/>
          <w:b/>
          <w:bCs w:val="0"/>
          <w:sz w:val="36"/>
          <w:szCs w:val="36"/>
        </w:rPr>
        <w:t xml:space="preserve">             发展取得历史性成就</w:t>
      </w:r>
      <w:bookmarkEnd w:id="12"/>
    </w:p>
    <w:p w14:paraId="7995A76F">
      <w:pPr>
        <w:tabs>
          <w:tab w:val="center" w:pos="4153"/>
          <w:tab w:val="right" w:pos="8306"/>
        </w:tabs>
        <w:adjustRightInd w:val="0"/>
        <w:spacing w:line="600" w:lineRule="exact"/>
        <w:ind w:firstLine="640" w:firstLineChars="200"/>
        <w:jc w:val="both"/>
        <w:rPr>
          <w:rFonts w:hint="eastAsia" w:ascii="宋体" w:hAnsi="宋体" w:eastAsia="宋体" w:cs="宋体"/>
          <w:sz w:val="32"/>
          <w:szCs w:val="32"/>
        </w:rPr>
      </w:pPr>
    </w:p>
    <w:p w14:paraId="0738732F">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三五”时期，是我县决战脱贫攻坚、决胜全面小康取得决定性成就的五年，是全面践行新发展理念、推动经济社会发展再上新台阶的五年，也是发展进程中极不平凡的五年。面对错综复杂的外部环境、持续下行的经济压力、艰巨繁重的发展稳定任务，特别是新冠肺炎疫情严重冲击，县委团结带领全县干部群众，坚持以习近平新时代中国特色社会主义思想为指导，深入贯彻党的十九大精神和习近平总书记重要指示精神，认真贯彻落实党中央、国务院和省委省政府、市委市政府的各项决策部署，坚持新发展理念，坚持稳中求进工作总基调，坚持以脱贫攻坚统揽经济社会发展全局，统筹推进稳增长、促改革、调结构、惠民生、防风险、保稳定工作，着力推进“四区建设”，经济社会发展取得历史性成就。</w:t>
      </w:r>
    </w:p>
    <w:p w14:paraId="09361B94">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这五年，我们攻坚克难、主动作为，干成了事关全局、影响深远的三件大事。一是脱贫攻坚成效显著。始终把脱贫攻坚作为头等大事和第一民生工程，尽锐出战、务求精准，自加压力、夯实“底板”。3个贫困镇陆续“摘帽”、46个贫困村全部脱贫出列，建档立卡扶贫对象12410户44174人全部实现脱贫，完成易地扶贫搬迁2058户8984人，贫困发生率从2015年底的5.25%降至“0”，全面小康胜利在望。二是疫情防控节节胜利。坚持人民至上、生命至上，</w:t>
      </w:r>
      <w:r>
        <w:rPr>
          <w:rFonts w:hint="eastAsia" w:ascii="宋体" w:hAnsi="宋体" w:eastAsia="宋体" w:cs="宋体"/>
          <w:kern w:val="0"/>
          <w:sz w:val="28"/>
          <w:szCs w:val="28"/>
        </w:rPr>
        <w:t>严格按照“1+7”工作机制，打好</w:t>
      </w:r>
      <w:r>
        <w:rPr>
          <w:rFonts w:hint="eastAsia" w:ascii="宋体" w:hAnsi="宋体" w:cs="宋体"/>
          <w:kern w:val="0"/>
          <w:sz w:val="28"/>
          <w:szCs w:val="28"/>
          <w:lang w:eastAsia="zh-CN"/>
        </w:rPr>
        <w:t>疫情防控阻击战</w:t>
      </w:r>
      <w:r>
        <w:rPr>
          <w:rFonts w:hint="eastAsia" w:ascii="宋体" w:hAnsi="宋体" w:eastAsia="宋体" w:cs="宋体"/>
          <w:kern w:val="0"/>
          <w:sz w:val="28"/>
          <w:szCs w:val="28"/>
        </w:rPr>
        <w:t>，实现零确诊、零疑似。</w:t>
      </w:r>
      <w:r>
        <w:rPr>
          <w:rFonts w:hint="eastAsia" w:ascii="宋体" w:hAnsi="宋体" w:eastAsia="宋体" w:cs="宋体"/>
          <w:sz w:val="28"/>
          <w:szCs w:val="28"/>
        </w:rPr>
        <w:t>积极应对新冠肺炎疫情严重冲击风险挑战，经济发展快速恢复。三是综合实力明显增强。</w:t>
      </w:r>
      <w:r>
        <w:rPr>
          <w:rFonts w:hint="eastAsia" w:ascii="宋体" w:hAnsi="宋体" w:eastAsia="宋体" w:cs="宋体"/>
          <w:kern w:val="0"/>
          <w:sz w:val="28"/>
          <w:szCs w:val="28"/>
        </w:rPr>
        <w:t>坚持稳中求进，着力后发赶超，</w:t>
      </w:r>
      <w:r>
        <w:rPr>
          <w:rFonts w:hint="eastAsia" w:ascii="宋体" w:hAnsi="宋体" w:eastAsia="宋体" w:cs="宋体"/>
          <w:sz w:val="28"/>
          <w:szCs w:val="28"/>
        </w:rPr>
        <w:t>全县经济平稳健康发展。2016年成功跨入全省县域经济第一方阵，并稳定保持。今年预计完成地区生产总值达105.9亿元，是2010年地区生产总值的3倍，为历史增幅最大时期。</w:t>
      </w:r>
    </w:p>
    <w:p w14:paraId="082EA028">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pacing w:val="-20"/>
          <w:sz w:val="28"/>
          <w:szCs w:val="28"/>
        </w:rPr>
        <w:t>这五年，</w:t>
      </w:r>
      <w:r>
        <w:rPr>
          <w:rFonts w:hint="eastAsia" w:ascii="宋体" w:hAnsi="宋体" w:eastAsia="宋体" w:cs="宋体"/>
          <w:sz w:val="28"/>
          <w:szCs w:val="28"/>
        </w:rPr>
        <w:t>我们群策群力、砥砺奋进，各项事业实现新突破。一是产业发展实现新突破。农村产业革命纵深推进，科学谋划“332115”产业布局，推动辣椒、金银花、方竹等特色产业向种植规模化、品种优质化、生产标准化、经营产业化方向发展，“三联、四动、五金”产业发展模式获省肯定。工业经济持续增强，园区面貌不断提升，煤电锰循环经济一体化项目建成投产，年产值超25亿元；军民融合产业发展态势向好。第三产业提质增效，成功创建4A级景区4个、3A级景区4个，完成旅游公路建设80.6公里，以红果树、汇善谷养生温泉、十二背后为代表的旅游康养产业初具雏形。林达阳光美食城建成投产，现代服务业集聚核心区逐渐形成。二是基础设施建设实现新突破。累计投入建设资金35.89亿元，建设公路1766公里，村村硬化公路全覆盖。群众多年企盼的分水岭、小峰坎隧道顺利贯通。兰海高速G75复线（绥阳段）有序推进，遵义二环高速桐梓至新蒲（绥阳段）启动建设，G352、绥正高速、绥阳东收费站建成通车。有效解决农村13.61万人的饮水问题，农村自来水普及率达99%。电力设施、基站建设、光纤入户等基础配套不断升级。三是城乡建设实现新突破。洋川“撤镇设办”。棚户区、老旧小区改造惠及2.2万户，新城区建筑群初具规模，“四在农家·美丽乡村”建设深入推进，人居环境持续改善。荣获“国家卫生县城”称号。县城区建成面积从7平方公里扩增至21.5平方公里，县城常住人口从14万人增长到21.5万人。预计全县城镇化率从“十二五”期末的45%提高到51.16%。四是生态文明建设实现新突破。深入实施大生态战略行动，森林覆盖率达到59.29%。小关、枧坝、青杠塘获得森林乡镇称号。全面推进“治污治水·洁净家园”攻坚行动，污染防治力度不断加大，洋川河综合治理效果明显。新建、改造污水处理厂16座，城镇生活污水集中处理率保持在90%以上，饮用水源水质达标率保持100%，城市空气质量优良天数比率保持在95%以上。卧龙湖获评省级生态体育公园。五是改革开放实现新突破。机构改革全面完成，供给侧结构性改革、农村综合改革等深入推进，“放管服”改革取得明显成效。完成政务服务中心整体搬迁，县乡村三级2270个审批服务事项全部接入贵州省政务服务网，网上可办率达100%。旅发大会、世界诗人大会、世界名校龙舟大赛、遵商联盟大会等活动影响力持续扩大。招商引资、科技创新成果丰硕，外贸销售成功破“零”并良好发展。六是民生事业实现新突破。预计城乡居民人均可支配收入分别达35309元、15237元，是绝对增量最大的时期。学前教育更加普惠优质，义教均衡高分通过国家级验收，中等职业学校、特殊教育办学特色凸显，累计投入7.2亿元，改（扩）建学校57所，乡镇（街道）中心幼儿园全覆盖，城区新增实验幼儿园红海校区和诗乡门校区、实验一小、实验二小、思源学校、实验中学等，增加学位9360个，“大班额”问题有效化解。县第二人民医院主体完工，县中医院成功创建三级医院，县妇幼保健院通过二级医院评审，建成“医养结合”模式养老机构4家。就业状况持续改善，低保、医保、社保、养老覆盖面不断扩大。获批全省唯一国家级社会救助综合改革试点县，创新打造“社会救助云平台”。央视《新闻调查》栏目深度宣传报道我县“童伴计划”工作成效。建成全市首家智慧图书馆。七是社会治理实现新突破。“六稳”“六保”工作扎实有力。依法治县水平不断提升，“七五”普法顺利通过验收。扫黑除恶专项斗争取得实效。“雪亮工程”全面深化。应急管理、综治、禁毒等工作成效明显。人民群众安全感、政法机关满意度始终保持省市前列。</w:t>
      </w:r>
    </w:p>
    <w:p w14:paraId="07E46B22">
      <w:pPr>
        <w:keepNext w:val="0"/>
        <w:keepLines w:val="0"/>
        <w:pageBreakBefore w:val="0"/>
        <w:widowControl w:val="0"/>
        <w:tabs>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这五年，我们从严治党、正风肃纪，政治生态持续修复净化。全面落实新时代党的建设总要求，坚持党要管党、全面从严治党，始终把党的建设作为一项伟大工程来推进，扎实开展“不忘初心、牢记使命”主题教育和“思想大解放、产业大发展、作风大转变”专项教育。坚持严管和厚爱结合、激励和约束并重，从严抓实干部管理，干事创业、担当作为氛围日渐浓厚。坚定不移一体推进不敢腐、不能腐、不想腐的重要方略，坚决抓好巡视整改，纵深推进巡察工作，坚决肃清王晓光、王晓旭恶劣影响，反腐败斗争压倒性胜利不断巩固拓展，党风政风持续向好。</w:t>
      </w:r>
    </w:p>
    <w:p w14:paraId="6FB77F25">
      <w:pPr>
        <w:keepNext w:val="0"/>
        <w:keepLines w:val="0"/>
        <w:pageBreakBefore w:val="0"/>
        <w:widowControl w:val="0"/>
        <w:kinsoku/>
        <w:wordWrap/>
        <w:overflowPunct/>
        <w:topLinePunct w:val="0"/>
        <w:autoSpaceDE/>
        <w:autoSpaceDN/>
        <w:bidi w:val="0"/>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绥阳县经济社会发展在“十三五”时期取得的显著成绩，主要得益于以习近平同志为核心的党中央的掌舵领航，得益于上级党委的正确领导，得益于县四大班子的精诚团结，得益于全县各级党组织、广大干部群众的艰苦奋斗。回顾五年来的奋斗历程，我们深刻体会，只要我们坚持把习近平总书记重要指示精神作为一切工作的根本遵循，坚定不移落实中央和省委、市委的决策部署，立足资源禀赋，发挥比较优势，齐心协力、团结奋进、苦干实干、后发赶超，一定能够谱写“十四五”时期高质量发展新篇章。</w:t>
      </w:r>
    </w:p>
    <w:p w14:paraId="60D4CC2F">
      <w:pPr>
        <w:keepNext w:val="0"/>
        <w:keepLines w:val="0"/>
        <w:pageBreakBefore w:val="0"/>
        <w:widowControl w:val="0"/>
        <w:kinsoku/>
        <w:wordWrap/>
        <w:overflowPunct/>
        <w:topLinePunct w:val="0"/>
        <w:autoSpaceDE/>
        <w:autoSpaceDN/>
        <w:bidi w:val="0"/>
        <w:snapToGrid/>
        <w:spacing w:line="520" w:lineRule="exact"/>
        <w:textAlignment w:val="auto"/>
        <w:rPr>
          <w:rFonts w:hint="eastAsia" w:ascii="宋体" w:hAnsi="宋体" w:eastAsia="宋体" w:cs="宋体"/>
          <w:sz w:val="30"/>
          <w:szCs w:val="30"/>
        </w:rPr>
      </w:pPr>
      <w:r>
        <w:rPr>
          <w:rFonts w:hint="eastAsia" w:ascii="宋体" w:hAnsi="宋体" w:eastAsia="宋体" w:cs="宋体"/>
          <w:sz w:val="30"/>
          <w:szCs w:val="30"/>
        </w:rPr>
        <w:br w:type="page"/>
      </w:r>
    </w:p>
    <w:tbl>
      <w:tblPr>
        <w:tblStyle w:val="15"/>
        <w:tblW w:w="7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829"/>
        <w:gridCol w:w="736"/>
        <w:gridCol w:w="792"/>
        <w:gridCol w:w="964"/>
        <w:gridCol w:w="1027"/>
        <w:gridCol w:w="1323"/>
      </w:tblGrid>
      <w:tr w14:paraId="2A51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8" w:hRule="atLeast"/>
          <w:tblHeader/>
          <w:jc w:val="center"/>
        </w:trPr>
        <w:tc>
          <w:tcPr>
            <w:tcW w:w="7340" w:type="dxa"/>
            <w:gridSpan w:val="7"/>
            <w:tcBorders>
              <w:top w:val="nil"/>
              <w:left w:val="nil"/>
              <w:bottom w:val="single" w:color="auto" w:sz="4" w:space="0"/>
              <w:right w:val="nil"/>
            </w:tcBorders>
            <w:vAlign w:val="center"/>
          </w:tcPr>
          <w:p w14:paraId="241CA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b/>
                <w:bCs w:val="0"/>
                <w:sz w:val="28"/>
                <w:szCs w:val="28"/>
              </w:rPr>
              <w:t>专栏1  绥阳县“十三五”经济社会发展指标完成情况表</w:t>
            </w:r>
          </w:p>
        </w:tc>
      </w:tr>
      <w:tr w14:paraId="1AED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blHeader/>
          <w:jc w:val="center"/>
        </w:trPr>
        <w:tc>
          <w:tcPr>
            <w:tcW w:w="1669" w:type="dxa"/>
            <w:tcBorders>
              <w:top w:val="single" w:color="auto" w:sz="4" w:space="0"/>
            </w:tcBorders>
            <w:vAlign w:val="center"/>
          </w:tcPr>
          <w:p w14:paraId="176DFB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指标名称</w:t>
            </w:r>
          </w:p>
        </w:tc>
        <w:tc>
          <w:tcPr>
            <w:tcW w:w="829" w:type="dxa"/>
            <w:tcBorders>
              <w:top w:val="single" w:color="auto" w:sz="4" w:space="0"/>
            </w:tcBorders>
            <w:vAlign w:val="center"/>
          </w:tcPr>
          <w:p w14:paraId="56AE65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2015年</w:t>
            </w:r>
          </w:p>
          <w:p w14:paraId="35DD4E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实际</w:t>
            </w:r>
          </w:p>
        </w:tc>
        <w:tc>
          <w:tcPr>
            <w:tcW w:w="736" w:type="dxa"/>
            <w:tcBorders>
              <w:top w:val="single" w:color="auto" w:sz="4" w:space="0"/>
            </w:tcBorders>
            <w:vAlign w:val="center"/>
          </w:tcPr>
          <w:p w14:paraId="028740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70863B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规划</w:t>
            </w:r>
          </w:p>
        </w:tc>
        <w:tc>
          <w:tcPr>
            <w:tcW w:w="792" w:type="dxa"/>
            <w:tcBorders>
              <w:top w:val="single" w:color="auto" w:sz="4" w:space="0"/>
            </w:tcBorders>
            <w:vAlign w:val="center"/>
          </w:tcPr>
          <w:p w14:paraId="48937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195701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预计</w:t>
            </w:r>
          </w:p>
        </w:tc>
        <w:tc>
          <w:tcPr>
            <w:tcW w:w="964" w:type="dxa"/>
            <w:tcBorders>
              <w:top w:val="single" w:color="auto" w:sz="4" w:space="0"/>
            </w:tcBorders>
            <w:vAlign w:val="center"/>
          </w:tcPr>
          <w:p w14:paraId="03224A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“十三五”年均增长率（%）</w:t>
            </w:r>
          </w:p>
        </w:tc>
        <w:tc>
          <w:tcPr>
            <w:tcW w:w="1027" w:type="dxa"/>
            <w:tcBorders>
              <w:top w:val="single" w:color="auto" w:sz="4" w:space="0"/>
            </w:tcBorders>
            <w:vAlign w:val="center"/>
          </w:tcPr>
          <w:p w14:paraId="6CA3DA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完成</w:t>
            </w:r>
          </w:p>
          <w:p w14:paraId="31F89C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比例性（%）</w:t>
            </w:r>
          </w:p>
        </w:tc>
        <w:tc>
          <w:tcPr>
            <w:tcW w:w="1323" w:type="dxa"/>
            <w:tcBorders>
              <w:top w:val="single" w:color="auto" w:sz="4" w:space="0"/>
            </w:tcBorders>
            <w:vAlign w:val="center"/>
          </w:tcPr>
          <w:p w14:paraId="68270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14:paraId="3207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blHeader/>
          <w:jc w:val="center"/>
        </w:trPr>
        <w:tc>
          <w:tcPr>
            <w:tcW w:w="1669" w:type="dxa"/>
            <w:vAlign w:val="center"/>
          </w:tcPr>
          <w:p w14:paraId="38FDED3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Cs w:val="21"/>
              </w:rPr>
            </w:pPr>
            <w:r>
              <w:rPr>
                <w:rFonts w:hint="eastAsia" w:ascii="宋体" w:hAnsi="宋体" w:eastAsia="宋体" w:cs="宋体"/>
                <w:b/>
                <w:kern w:val="0"/>
                <w:sz w:val="20"/>
                <w:szCs w:val="20"/>
              </w:rPr>
              <w:t>一、经济增长</w:t>
            </w:r>
          </w:p>
        </w:tc>
        <w:tc>
          <w:tcPr>
            <w:tcW w:w="829" w:type="dxa"/>
            <w:vAlign w:val="center"/>
          </w:tcPr>
          <w:p w14:paraId="182735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c>
          <w:tcPr>
            <w:tcW w:w="736" w:type="dxa"/>
            <w:vAlign w:val="center"/>
          </w:tcPr>
          <w:p w14:paraId="2AE701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c>
          <w:tcPr>
            <w:tcW w:w="792" w:type="dxa"/>
            <w:vAlign w:val="center"/>
          </w:tcPr>
          <w:p w14:paraId="0CD317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c>
          <w:tcPr>
            <w:tcW w:w="964" w:type="dxa"/>
            <w:vAlign w:val="center"/>
          </w:tcPr>
          <w:p w14:paraId="7162E0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c>
          <w:tcPr>
            <w:tcW w:w="1027" w:type="dxa"/>
            <w:vAlign w:val="center"/>
          </w:tcPr>
          <w:p w14:paraId="468C5B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c>
          <w:tcPr>
            <w:tcW w:w="1323" w:type="dxa"/>
            <w:vAlign w:val="center"/>
          </w:tcPr>
          <w:p w14:paraId="28E1E5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13B3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5CBC50A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1.地区生产总值（亿元）</w:t>
            </w:r>
          </w:p>
        </w:tc>
        <w:tc>
          <w:tcPr>
            <w:tcW w:w="829" w:type="dxa"/>
            <w:vAlign w:val="center"/>
          </w:tcPr>
          <w:p w14:paraId="1C76A28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86.34</w:t>
            </w:r>
          </w:p>
        </w:tc>
        <w:tc>
          <w:tcPr>
            <w:tcW w:w="736" w:type="dxa"/>
            <w:vAlign w:val="center"/>
          </w:tcPr>
          <w:p w14:paraId="457A99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＞170</w:t>
            </w:r>
          </w:p>
        </w:tc>
        <w:tc>
          <w:tcPr>
            <w:tcW w:w="792" w:type="dxa"/>
            <w:vAlign w:val="center"/>
          </w:tcPr>
          <w:p w14:paraId="5E7D57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105.9</w:t>
            </w:r>
          </w:p>
        </w:tc>
        <w:tc>
          <w:tcPr>
            <w:tcW w:w="964" w:type="dxa"/>
            <w:vAlign w:val="center"/>
          </w:tcPr>
          <w:p w14:paraId="257D8CD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10.6</w:t>
            </w:r>
          </w:p>
        </w:tc>
        <w:tc>
          <w:tcPr>
            <w:tcW w:w="1027" w:type="dxa"/>
            <w:vAlign w:val="center"/>
          </w:tcPr>
          <w:p w14:paraId="79F78D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62.9</w:t>
            </w:r>
          </w:p>
        </w:tc>
        <w:tc>
          <w:tcPr>
            <w:tcW w:w="1323" w:type="dxa"/>
            <w:vMerge w:val="restart"/>
            <w:vAlign w:val="center"/>
          </w:tcPr>
          <w:p w14:paraId="1156D5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kern w:val="0"/>
                <w:sz w:val="20"/>
                <w:szCs w:val="20"/>
              </w:rPr>
              <w:t>2020年一、二、三产业结构比37.5∶14.4∶48.1。因2018年统计数据调整，核减同期数，按统计规范要求，总量下降，增速不变。</w:t>
            </w:r>
          </w:p>
        </w:tc>
      </w:tr>
      <w:tr w14:paraId="2D27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55AA6D9E">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center"/>
              <w:rPr>
                <w:rFonts w:hint="eastAsia" w:ascii="宋体" w:hAnsi="宋体" w:eastAsia="宋体" w:cs="宋体"/>
                <w:szCs w:val="21"/>
              </w:rPr>
            </w:pPr>
            <w:r>
              <w:rPr>
                <w:rFonts w:hint="eastAsia" w:ascii="宋体" w:hAnsi="宋体" w:eastAsia="宋体" w:cs="宋体"/>
                <w:kern w:val="0"/>
                <w:sz w:val="20"/>
                <w:szCs w:val="20"/>
              </w:rPr>
              <w:t>第一产业</w:t>
            </w:r>
          </w:p>
        </w:tc>
        <w:tc>
          <w:tcPr>
            <w:tcW w:w="829" w:type="dxa"/>
            <w:vAlign w:val="center"/>
          </w:tcPr>
          <w:p w14:paraId="726FD1F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30.57</w:t>
            </w:r>
          </w:p>
        </w:tc>
        <w:tc>
          <w:tcPr>
            <w:tcW w:w="736" w:type="dxa"/>
            <w:vAlign w:val="center"/>
          </w:tcPr>
          <w:p w14:paraId="71D3FE8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43</w:t>
            </w:r>
          </w:p>
        </w:tc>
        <w:tc>
          <w:tcPr>
            <w:tcW w:w="792" w:type="dxa"/>
            <w:vAlign w:val="center"/>
          </w:tcPr>
          <w:p w14:paraId="4F71B70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39.7</w:t>
            </w:r>
          </w:p>
        </w:tc>
        <w:tc>
          <w:tcPr>
            <w:tcW w:w="964" w:type="dxa"/>
            <w:vAlign w:val="center"/>
          </w:tcPr>
          <w:p w14:paraId="2DD41F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6.4</w:t>
            </w:r>
          </w:p>
        </w:tc>
        <w:tc>
          <w:tcPr>
            <w:tcW w:w="1027" w:type="dxa"/>
            <w:vAlign w:val="center"/>
          </w:tcPr>
          <w:p w14:paraId="35B9FC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92.3</w:t>
            </w:r>
          </w:p>
        </w:tc>
        <w:tc>
          <w:tcPr>
            <w:tcW w:w="1323" w:type="dxa"/>
            <w:vMerge w:val="continue"/>
            <w:vAlign w:val="center"/>
          </w:tcPr>
          <w:p w14:paraId="3EE742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56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0CA584A">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center"/>
              <w:rPr>
                <w:rFonts w:hint="eastAsia" w:ascii="宋体" w:hAnsi="宋体" w:eastAsia="宋体" w:cs="宋体"/>
                <w:szCs w:val="21"/>
              </w:rPr>
            </w:pPr>
            <w:r>
              <w:rPr>
                <w:rFonts w:hint="eastAsia" w:ascii="宋体" w:hAnsi="宋体" w:eastAsia="宋体" w:cs="宋体"/>
                <w:kern w:val="0"/>
                <w:sz w:val="20"/>
                <w:szCs w:val="20"/>
              </w:rPr>
              <w:t>第二产业</w:t>
            </w:r>
          </w:p>
        </w:tc>
        <w:tc>
          <w:tcPr>
            <w:tcW w:w="829" w:type="dxa"/>
            <w:vAlign w:val="center"/>
          </w:tcPr>
          <w:p w14:paraId="4B189AA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23.83</w:t>
            </w:r>
          </w:p>
        </w:tc>
        <w:tc>
          <w:tcPr>
            <w:tcW w:w="736" w:type="dxa"/>
            <w:vAlign w:val="center"/>
          </w:tcPr>
          <w:p w14:paraId="669F8D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57</w:t>
            </w:r>
          </w:p>
        </w:tc>
        <w:tc>
          <w:tcPr>
            <w:tcW w:w="792" w:type="dxa"/>
            <w:vAlign w:val="center"/>
          </w:tcPr>
          <w:p w14:paraId="742BAFF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15.3</w:t>
            </w:r>
          </w:p>
        </w:tc>
        <w:tc>
          <w:tcPr>
            <w:tcW w:w="964" w:type="dxa"/>
            <w:vAlign w:val="center"/>
          </w:tcPr>
          <w:p w14:paraId="552685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9.6</w:t>
            </w:r>
          </w:p>
        </w:tc>
        <w:tc>
          <w:tcPr>
            <w:tcW w:w="1027" w:type="dxa"/>
            <w:vAlign w:val="center"/>
          </w:tcPr>
          <w:p w14:paraId="4CF6C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26.8</w:t>
            </w:r>
          </w:p>
        </w:tc>
        <w:tc>
          <w:tcPr>
            <w:tcW w:w="1323" w:type="dxa"/>
            <w:vMerge w:val="continue"/>
            <w:vAlign w:val="center"/>
          </w:tcPr>
          <w:p w14:paraId="1070FA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33FA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9630C72">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center"/>
              <w:rPr>
                <w:rFonts w:hint="eastAsia" w:ascii="宋体" w:hAnsi="宋体" w:eastAsia="宋体" w:cs="宋体"/>
                <w:szCs w:val="21"/>
              </w:rPr>
            </w:pPr>
            <w:r>
              <w:rPr>
                <w:rFonts w:hint="eastAsia" w:ascii="宋体" w:hAnsi="宋体" w:eastAsia="宋体" w:cs="宋体"/>
                <w:kern w:val="0"/>
                <w:sz w:val="20"/>
                <w:szCs w:val="20"/>
              </w:rPr>
              <w:t>工业</w:t>
            </w:r>
          </w:p>
        </w:tc>
        <w:tc>
          <w:tcPr>
            <w:tcW w:w="829" w:type="dxa"/>
            <w:vAlign w:val="center"/>
          </w:tcPr>
          <w:p w14:paraId="5E28A29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21.63</w:t>
            </w:r>
          </w:p>
        </w:tc>
        <w:tc>
          <w:tcPr>
            <w:tcW w:w="736" w:type="dxa"/>
            <w:vAlign w:val="center"/>
          </w:tcPr>
          <w:p w14:paraId="01225DD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42</w:t>
            </w:r>
          </w:p>
        </w:tc>
        <w:tc>
          <w:tcPr>
            <w:tcW w:w="792" w:type="dxa"/>
            <w:vAlign w:val="center"/>
          </w:tcPr>
          <w:p w14:paraId="7DA9CD1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9.95</w:t>
            </w:r>
          </w:p>
        </w:tc>
        <w:tc>
          <w:tcPr>
            <w:tcW w:w="964" w:type="dxa"/>
            <w:vAlign w:val="center"/>
          </w:tcPr>
          <w:p w14:paraId="146ACB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8.8</w:t>
            </w:r>
          </w:p>
        </w:tc>
        <w:tc>
          <w:tcPr>
            <w:tcW w:w="1027" w:type="dxa"/>
            <w:vAlign w:val="center"/>
          </w:tcPr>
          <w:p w14:paraId="035060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23.7</w:t>
            </w:r>
          </w:p>
        </w:tc>
        <w:tc>
          <w:tcPr>
            <w:tcW w:w="1323" w:type="dxa"/>
            <w:vMerge w:val="continue"/>
            <w:vAlign w:val="center"/>
          </w:tcPr>
          <w:p w14:paraId="7F63A2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3643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21D0D9F">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center"/>
              <w:rPr>
                <w:rFonts w:hint="eastAsia" w:ascii="宋体" w:hAnsi="宋体" w:eastAsia="宋体" w:cs="宋体"/>
                <w:szCs w:val="21"/>
              </w:rPr>
            </w:pPr>
            <w:r>
              <w:rPr>
                <w:rFonts w:hint="eastAsia" w:ascii="宋体" w:hAnsi="宋体" w:eastAsia="宋体" w:cs="宋体"/>
                <w:kern w:val="0"/>
                <w:sz w:val="20"/>
                <w:szCs w:val="20"/>
              </w:rPr>
              <w:t>第三产业</w:t>
            </w:r>
          </w:p>
        </w:tc>
        <w:tc>
          <w:tcPr>
            <w:tcW w:w="829" w:type="dxa"/>
            <w:vAlign w:val="center"/>
          </w:tcPr>
          <w:p w14:paraId="78D291D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31.94</w:t>
            </w:r>
          </w:p>
        </w:tc>
        <w:tc>
          <w:tcPr>
            <w:tcW w:w="736" w:type="dxa"/>
            <w:vAlign w:val="center"/>
          </w:tcPr>
          <w:p w14:paraId="1C2CDC9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70</w:t>
            </w:r>
          </w:p>
        </w:tc>
        <w:tc>
          <w:tcPr>
            <w:tcW w:w="792" w:type="dxa"/>
            <w:vAlign w:val="center"/>
          </w:tcPr>
          <w:p w14:paraId="5111C61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50.9</w:t>
            </w:r>
          </w:p>
        </w:tc>
        <w:tc>
          <w:tcPr>
            <w:tcW w:w="964" w:type="dxa"/>
            <w:vAlign w:val="center"/>
          </w:tcPr>
          <w:p w14:paraId="7CF1DE0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15.2</w:t>
            </w:r>
          </w:p>
        </w:tc>
        <w:tc>
          <w:tcPr>
            <w:tcW w:w="1027" w:type="dxa"/>
            <w:vAlign w:val="center"/>
          </w:tcPr>
          <w:p w14:paraId="32B71C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72.7</w:t>
            </w:r>
          </w:p>
        </w:tc>
        <w:tc>
          <w:tcPr>
            <w:tcW w:w="1323" w:type="dxa"/>
            <w:vMerge w:val="continue"/>
            <w:vAlign w:val="center"/>
          </w:tcPr>
          <w:p w14:paraId="04E79B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713B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6CB80BA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2.财政总收入（亿元）</w:t>
            </w:r>
          </w:p>
        </w:tc>
        <w:tc>
          <w:tcPr>
            <w:tcW w:w="829" w:type="dxa"/>
            <w:vAlign w:val="center"/>
          </w:tcPr>
          <w:p w14:paraId="2B2EF6D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10.05</w:t>
            </w:r>
          </w:p>
        </w:tc>
        <w:tc>
          <w:tcPr>
            <w:tcW w:w="736" w:type="dxa"/>
            <w:vAlign w:val="center"/>
          </w:tcPr>
          <w:p w14:paraId="6D46490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18</w:t>
            </w:r>
          </w:p>
        </w:tc>
        <w:tc>
          <w:tcPr>
            <w:tcW w:w="792" w:type="dxa"/>
            <w:vAlign w:val="center"/>
          </w:tcPr>
          <w:p w14:paraId="51FF699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8.98</w:t>
            </w:r>
          </w:p>
        </w:tc>
        <w:tc>
          <w:tcPr>
            <w:tcW w:w="964" w:type="dxa"/>
            <w:vAlign w:val="center"/>
          </w:tcPr>
          <w:p w14:paraId="7C7C7C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-2.35</w:t>
            </w:r>
          </w:p>
        </w:tc>
        <w:tc>
          <w:tcPr>
            <w:tcW w:w="1027" w:type="dxa"/>
            <w:vAlign w:val="center"/>
          </w:tcPr>
          <w:p w14:paraId="35C2A8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49.8</w:t>
            </w:r>
          </w:p>
        </w:tc>
        <w:tc>
          <w:tcPr>
            <w:tcW w:w="1323" w:type="dxa"/>
            <w:vAlign w:val="center"/>
          </w:tcPr>
          <w:p w14:paraId="0CC503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B0B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4A15FB8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一般公共预算收入（亿元）</w:t>
            </w:r>
          </w:p>
        </w:tc>
        <w:tc>
          <w:tcPr>
            <w:tcW w:w="829" w:type="dxa"/>
            <w:vAlign w:val="center"/>
          </w:tcPr>
          <w:p w14:paraId="7916DED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5.82</w:t>
            </w:r>
          </w:p>
        </w:tc>
        <w:tc>
          <w:tcPr>
            <w:tcW w:w="736" w:type="dxa"/>
            <w:vAlign w:val="center"/>
          </w:tcPr>
          <w:p w14:paraId="5D71D5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&gt;10</w:t>
            </w:r>
          </w:p>
        </w:tc>
        <w:tc>
          <w:tcPr>
            <w:tcW w:w="792" w:type="dxa"/>
            <w:vAlign w:val="center"/>
          </w:tcPr>
          <w:p w14:paraId="1DC35E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4</w:t>
            </w:r>
          </w:p>
        </w:tc>
        <w:tc>
          <w:tcPr>
            <w:tcW w:w="964" w:type="dxa"/>
            <w:vAlign w:val="center"/>
          </w:tcPr>
          <w:p w14:paraId="265A6A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-0.32</w:t>
            </w:r>
          </w:p>
        </w:tc>
        <w:tc>
          <w:tcPr>
            <w:tcW w:w="1027" w:type="dxa"/>
            <w:vAlign w:val="center"/>
          </w:tcPr>
          <w:p w14:paraId="6762B8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40</w:t>
            </w:r>
          </w:p>
        </w:tc>
        <w:tc>
          <w:tcPr>
            <w:tcW w:w="1323" w:type="dxa"/>
            <w:vAlign w:val="center"/>
          </w:tcPr>
          <w:p w14:paraId="104F6D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7C83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blHeader/>
          <w:jc w:val="center"/>
        </w:trPr>
        <w:tc>
          <w:tcPr>
            <w:tcW w:w="1669" w:type="dxa"/>
            <w:vAlign w:val="center"/>
          </w:tcPr>
          <w:p w14:paraId="44F158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3. 500万元以上固定资产投资（亿元）</w:t>
            </w:r>
          </w:p>
        </w:tc>
        <w:tc>
          <w:tcPr>
            <w:tcW w:w="829" w:type="dxa"/>
            <w:vAlign w:val="center"/>
          </w:tcPr>
          <w:p w14:paraId="6D279F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736" w:type="dxa"/>
            <w:vAlign w:val="center"/>
          </w:tcPr>
          <w:p w14:paraId="3B316B3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792" w:type="dxa"/>
            <w:vAlign w:val="center"/>
          </w:tcPr>
          <w:p w14:paraId="003A4E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95.7</w:t>
            </w:r>
          </w:p>
        </w:tc>
        <w:tc>
          <w:tcPr>
            <w:tcW w:w="964" w:type="dxa"/>
            <w:vAlign w:val="center"/>
          </w:tcPr>
          <w:p w14:paraId="074B60F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50C403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1323" w:type="dxa"/>
            <w:vMerge w:val="restart"/>
            <w:vAlign w:val="center"/>
          </w:tcPr>
          <w:p w14:paraId="2E570C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kern w:val="0"/>
                <w:sz w:val="20"/>
                <w:szCs w:val="20"/>
              </w:rPr>
              <w:t>因2018年统计数据调整，核减同期数，按统计规范要求，总量下降，增速不变。</w:t>
            </w:r>
          </w:p>
        </w:tc>
      </w:tr>
      <w:tr w14:paraId="690E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3285B7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4.社会消费品零售总额</w:t>
            </w:r>
          </w:p>
        </w:tc>
        <w:tc>
          <w:tcPr>
            <w:tcW w:w="829" w:type="dxa"/>
            <w:vAlign w:val="center"/>
          </w:tcPr>
          <w:p w14:paraId="1F5D82F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19.5</w:t>
            </w:r>
          </w:p>
        </w:tc>
        <w:tc>
          <w:tcPr>
            <w:tcW w:w="736" w:type="dxa"/>
            <w:vAlign w:val="center"/>
          </w:tcPr>
          <w:p w14:paraId="0FFA84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36</w:t>
            </w:r>
          </w:p>
        </w:tc>
        <w:tc>
          <w:tcPr>
            <w:tcW w:w="792" w:type="dxa"/>
            <w:vAlign w:val="center"/>
          </w:tcPr>
          <w:p w14:paraId="6F6240A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16.5</w:t>
            </w:r>
          </w:p>
        </w:tc>
        <w:tc>
          <w:tcPr>
            <w:tcW w:w="964" w:type="dxa"/>
            <w:vAlign w:val="center"/>
          </w:tcPr>
          <w:p w14:paraId="1F0F26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8</w:t>
            </w:r>
          </w:p>
        </w:tc>
        <w:tc>
          <w:tcPr>
            <w:tcW w:w="1027" w:type="dxa"/>
            <w:vAlign w:val="center"/>
          </w:tcPr>
          <w:p w14:paraId="2578E1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45.8</w:t>
            </w:r>
          </w:p>
        </w:tc>
        <w:tc>
          <w:tcPr>
            <w:tcW w:w="1323" w:type="dxa"/>
            <w:vMerge w:val="continue"/>
            <w:vAlign w:val="center"/>
          </w:tcPr>
          <w:p w14:paraId="38F4FD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1B5F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6DC065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5.人均地区生产总值（元）</w:t>
            </w:r>
          </w:p>
        </w:tc>
        <w:tc>
          <w:tcPr>
            <w:tcW w:w="829" w:type="dxa"/>
            <w:vAlign w:val="center"/>
          </w:tcPr>
          <w:p w14:paraId="6E5DBB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22656</w:t>
            </w:r>
          </w:p>
        </w:tc>
        <w:tc>
          <w:tcPr>
            <w:tcW w:w="736" w:type="dxa"/>
            <w:vAlign w:val="center"/>
          </w:tcPr>
          <w:p w14:paraId="262AB7D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43464</w:t>
            </w:r>
          </w:p>
        </w:tc>
        <w:tc>
          <w:tcPr>
            <w:tcW w:w="792" w:type="dxa"/>
            <w:vAlign w:val="center"/>
          </w:tcPr>
          <w:p w14:paraId="184EA1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27453</w:t>
            </w:r>
          </w:p>
        </w:tc>
        <w:tc>
          <w:tcPr>
            <w:tcW w:w="964" w:type="dxa"/>
            <w:vAlign w:val="center"/>
          </w:tcPr>
          <w:p w14:paraId="402160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11.7</w:t>
            </w:r>
          </w:p>
        </w:tc>
        <w:tc>
          <w:tcPr>
            <w:tcW w:w="1027" w:type="dxa"/>
            <w:vAlign w:val="center"/>
          </w:tcPr>
          <w:p w14:paraId="3D0D33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63.2</w:t>
            </w:r>
          </w:p>
        </w:tc>
        <w:tc>
          <w:tcPr>
            <w:tcW w:w="1323" w:type="dxa"/>
            <w:vMerge w:val="continue"/>
            <w:vAlign w:val="center"/>
          </w:tcPr>
          <w:p w14:paraId="4BFB40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35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6B91E5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6.旅游总收入（亿元）</w:t>
            </w:r>
          </w:p>
        </w:tc>
        <w:tc>
          <w:tcPr>
            <w:tcW w:w="829" w:type="dxa"/>
            <w:vAlign w:val="center"/>
          </w:tcPr>
          <w:p w14:paraId="5BD83C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27.8</w:t>
            </w:r>
          </w:p>
        </w:tc>
        <w:tc>
          <w:tcPr>
            <w:tcW w:w="736" w:type="dxa"/>
            <w:vAlign w:val="center"/>
          </w:tcPr>
          <w:p w14:paraId="6D647F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100</w:t>
            </w:r>
          </w:p>
        </w:tc>
        <w:tc>
          <w:tcPr>
            <w:tcW w:w="792" w:type="dxa"/>
            <w:vAlign w:val="center"/>
          </w:tcPr>
          <w:p w14:paraId="35688DD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97.69</w:t>
            </w:r>
          </w:p>
        </w:tc>
        <w:tc>
          <w:tcPr>
            <w:tcW w:w="964" w:type="dxa"/>
            <w:vAlign w:val="center"/>
          </w:tcPr>
          <w:p w14:paraId="55993C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011254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97.69</w:t>
            </w:r>
          </w:p>
        </w:tc>
        <w:tc>
          <w:tcPr>
            <w:tcW w:w="1323" w:type="dxa"/>
            <w:vAlign w:val="center"/>
          </w:tcPr>
          <w:p w14:paraId="10F972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2D48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tblHeader/>
          <w:jc w:val="center"/>
        </w:trPr>
        <w:tc>
          <w:tcPr>
            <w:tcW w:w="1669" w:type="dxa"/>
            <w:vAlign w:val="center"/>
          </w:tcPr>
          <w:p w14:paraId="682E57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kern w:val="0"/>
                <w:sz w:val="20"/>
                <w:szCs w:val="20"/>
              </w:rPr>
            </w:pPr>
            <w:r>
              <w:rPr>
                <w:rFonts w:hint="eastAsia" w:ascii="宋体" w:hAnsi="宋体" w:eastAsia="宋体" w:cs="宋体"/>
                <w:b/>
                <w:sz w:val="24"/>
                <w:szCs w:val="24"/>
              </w:rPr>
              <w:t>指标名称</w:t>
            </w:r>
          </w:p>
        </w:tc>
        <w:tc>
          <w:tcPr>
            <w:tcW w:w="829" w:type="dxa"/>
            <w:vAlign w:val="center"/>
          </w:tcPr>
          <w:p w14:paraId="143CB6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2015年</w:t>
            </w:r>
          </w:p>
          <w:p w14:paraId="6DA822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实际</w:t>
            </w:r>
          </w:p>
        </w:tc>
        <w:tc>
          <w:tcPr>
            <w:tcW w:w="736" w:type="dxa"/>
            <w:vAlign w:val="center"/>
          </w:tcPr>
          <w:p w14:paraId="3D7B4E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5B33A1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规划</w:t>
            </w:r>
          </w:p>
        </w:tc>
        <w:tc>
          <w:tcPr>
            <w:tcW w:w="792" w:type="dxa"/>
            <w:vAlign w:val="center"/>
          </w:tcPr>
          <w:p w14:paraId="795837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3FC7FB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预计</w:t>
            </w:r>
          </w:p>
        </w:tc>
        <w:tc>
          <w:tcPr>
            <w:tcW w:w="964" w:type="dxa"/>
            <w:vAlign w:val="center"/>
          </w:tcPr>
          <w:p w14:paraId="3D62BD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“十三五”年均增长率（%）</w:t>
            </w:r>
          </w:p>
        </w:tc>
        <w:tc>
          <w:tcPr>
            <w:tcW w:w="1027" w:type="dxa"/>
            <w:vAlign w:val="center"/>
          </w:tcPr>
          <w:p w14:paraId="389B5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完成</w:t>
            </w:r>
          </w:p>
          <w:p w14:paraId="45EF7D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比例性（%）</w:t>
            </w:r>
          </w:p>
        </w:tc>
        <w:tc>
          <w:tcPr>
            <w:tcW w:w="1323" w:type="dxa"/>
            <w:vAlign w:val="center"/>
          </w:tcPr>
          <w:p w14:paraId="7D0958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b/>
                <w:sz w:val="24"/>
                <w:szCs w:val="24"/>
              </w:rPr>
              <w:t>备注</w:t>
            </w:r>
          </w:p>
        </w:tc>
      </w:tr>
      <w:tr w14:paraId="0E3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67E7A4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Cs w:val="21"/>
              </w:rPr>
            </w:pPr>
            <w:r>
              <w:rPr>
                <w:rFonts w:hint="eastAsia" w:ascii="宋体" w:hAnsi="宋体" w:eastAsia="宋体" w:cs="宋体"/>
                <w:b/>
                <w:kern w:val="0"/>
                <w:sz w:val="20"/>
                <w:szCs w:val="20"/>
              </w:rPr>
              <w:t>二、人口与城镇化率</w:t>
            </w:r>
          </w:p>
        </w:tc>
        <w:tc>
          <w:tcPr>
            <w:tcW w:w="829" w:type="dxa"/>
            <w:vAlign w:val="center"/>
          </w:tcPr>
          <w:p w14:paraId="584AF4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36" w:type="dxa"/>
            <w:vAlign w:val="center"/>
          </w:tcPr>
          <w:p w14:paraId="2CB9A7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92" w:type="dxa"/>
            <w:vAlign w:val="center"/>
          </w:tcPr>
          <w:p w14:paraId="11F5B0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964" w:type="dxa"/>
            <w:vAlign w:val="center"/>
          </w:tcPr>
          <w:p w14:paraId="6F7FC7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027" w:type="dxa"/>
            <w:vAlign w:val="center"/>
          </w:tcPr>
          <w:p w14:paraId="408A43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323" w:type="dxa"/>
            <w:vAlign w:val="center"/>
          </w:tcPr>
          <w:p w14:paraId="157396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733C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blHeader/>
          <w:jc w:val="center"/>
        </w:trPr>
        <w:tc>
          <w:tcPr>
            <w:tcW w:w="1669" w:type="dxa"/>
            <w:vAlign w:val="center"/>
          </w:tcPr>
          <w:p w14:paraId="216367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7.年末常住半年</w:t>
            </w:r>
          </w:p>
          <w:p w14:paraId="5F7A89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Cs w:val="21"/>
              </w:rPr>
            </w:pPr>
            <w:r>
              <w:rPr>
                <w:rFonts w:hint="eastAsia" w:ascii="宋体" w:hAnsi="宋体" w:eastAsia="宋体" w:cs="宋体"/>
                <w:spacing w:val="-11"/>
                <w:kern w:val="0"/>
                <w:sz w:val="20"/>
                <w:szCs w:val="20"/>
              </w:rPr>
              <w:t>以上人口（万人）</w:t>
            </w:r>
          </w:p>
        </w:tc>
        <w:tc>
          <w:tcPr>
            <w:tcW w:w="829" w:type="dxa"/>
            <w:vAlign w:val="center"/>
          </w:tcPr>
          <w:p w14:paraId="5393F8D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38.11</w:t>
            </w:r>
          </w:p>
        </w:tc>
        <w:tc>
          <w:tcPr>
            <w:tcW w:w="736" w:type="dxa"/>
            <w:vAlign w:val="center"/>
          </w:tcPr>
          <w:p w14:paraId="40A359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42</w:t>
            </w:r>
          </w:p>
        </w:tc>
        <w:tc>
          <w:tcPr>
            <w:tcW w:w="792" w:type="dxa"/>
            <w:vAlign w:val="center"/>
          </w:tcPr>
          <w:p w14:paraId="42D12A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38.9</w:t>
            </w:r>
          </w:p>
        </w:tc>
        <w:tc>
          <w:tcPr>
            <w:tcW w:w="964" w:type="dxa"/>
            <w:vAlign w:val="center"/>
          </w:tcPr>
          <w:p w14:paraId="29431A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0.4</w:t>
            </w:r>
          </w:p>
        </w:tc>
        <w:tc>
          <w:tcPr>
            <w:tcW w:w="1027" w:type="dxa"/>
            <w:vAlign w:val="center"/>
          </w:tcPr>
          <w:p w14:paraId="0A28F0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92.6</w:t>
            </w:r>
          </w:p>
        </w:tc>
        <w:tc>
          <w:tcPr>
            <w:tcW w:w="1323" w:type="dxa"/>
            <w:vAlign w:val="center"/>
          </w:tcPr>
          <w:p w14:paraId="0629E1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2061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54876F9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县城人口（万人）</w:t>
            </w:r>
          </w:p>
        </w:tc>
        <w:tc>
          <w:tcPr>
            <w:tcW w:w="829" w:type="dxa"/>
            <w:vAlign w:val="center"/>
          </w:tcPr>
          <w:p w14:paraId="37879C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14</w:t>
            </w:r>
          </w:p>
        </w:tc>
        <w:tc>
          <w:tcPr>
            <w:tcW w:w="736" w:type="dxa"/>
            <w:vAlign w:val="center"/>
          </w:tcPr>
          <w:p w14:paraId="1A9843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20</w:t>
            </w:r>
          </w:p>
        </w:tc>
        <w:tc>
          <w:tcPr>
            <w:tcW w:w="792" w:type="dxa"/>
            <w:vAlign w:val="center"/>
          </w:tcPr>
          <w:p w14:paraId="26257E0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21.5</w:t>
            </w:r>
          </w:p>
        </w:tc>
        <w:tc>
          <w:tcPr>
            <w:tcW w:w="964" w:type="dxa"/>
            <w:vAlign w:val="center"/>
          </w:tcPr>
          <w:p w14:paraId="33C480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9</w:t>
            </w:r>
          </w:p>
        </w:tc>
        <w:tc>
          <w:tcPr>
            <w:tcW w:w="1027" w:type="dxa"/>
            <w:vAlign w:val="center"/>
          </w:tcPr>
          <w:p w14:paraId="576636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107.5</w:t>
            </w:r>
          </w:p>
        </w:tc>
        <w:tc>
          <w:tcPr>
            <w:tcW w:w="1323" w:type="dxa"/>
            <w:vAlign w:val="center"/>
          </w:tcPr>
          <w:p w14:paraId="736BD0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796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CCC0C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8.人口自然增长率（‰）</w:t>
            </w:r>
          </w:p>
        </w:tc>
        <w:tc>
          <w:tcPr>
            <w:tcW w:w="829" w:type="dxa"/>
            <w:vAlign w:val="center"/>
          </w:tcPr>
          <w:p w14:paraId="2788E97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14.29</w:t>
            </w:r>
          </w:p>
        </w:tc>
        <w:tc>
          <w:tcPr>
            <w:tcW w:w="736" w:type="dxa"/>
            <w:vAlign w:val="center"/>
          </w:tcPr>
          <w:p w14:paraId="60E9FE7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7.5</w:t>
            </w:r>
          </w:p>
        </w:tc>
        <w:tc>
          <w:tcPr>
            <w:tcW w:w="792" w:type="dxa"/>
            <w:vAlign w:val="center"/>
          </w:tcPr>
          <w:p w14:paraId="181AD3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4.36</w:t>
            </w:r>
          </w:p>
        </w:tc>
        <w:tc>
          <w:tcPr>
            <w:tcW w:w="964" w:type="dxa"/>
            <w:vAlign w:val="center"/>
          </w:tcPr>
          <w:p w14:paraId="76E857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51B8E8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323" w:type="dxa"/>
            <w:vAlign w:val="center"/>
          </w:tcPr>
          <w:p w14:paraId="40A054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6D93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3D48737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年末户籍人口（万人）</w:t>
            </w:r>
          </w:p>
        </w:tc>
        <w:tc>
          <w:tcPr>
            <w:tcW w:w="829" w:type="dxa"/>
            <w:vAlign w:val="center"/>
          </w:tcPr>
          <w:p w14:paraId="2878696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55.71</w:t>
            </w:r>
          </w:p>
        </w:tc>
        <w:tc>
          <w:tcPr>
            <w:tcW w:w="736" w:type="dxa"/>
            <w:vAlign w:val="center"/>
          </w:tcPr>
          <w:p w14:paraId="2CC66D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57.2</w:t>
            </w:r>
          </w:p>
        </w:tc>
        <w:tc>
          <w:tcPr>
            <w:tcW w:w="792" w:type="dxa"/>
            <w:vAlign w:val="center"/>
          </w:tcPr>
          <w:p w14:paraId="3E7B4CB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58.18</w:t>
            </w:r>
          </w:p>
        </w:tc>
        <w:tc>
          <w:tcPr>
            <w:tcW w:w="964" w:type="dxa"/>
            <w:vAlign w:val="center"/>
          </w:tcPr>
          <w:p w14:paraId="27F51E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0.79</w:t>
            </w:r>
          </w:p>
        </w:tc>
        <w:tc>
          <w:tcPr>
            <w:tcW w:w="1027" w:type="dxa"/>
            <w:vAlign w:val="center"/>
          </w:tcPr>
          <w:p w14:paraId="3B5F89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101.7</w:t>
            </w:r>
          </w:p>
        </w:tc>
        <w:tc>
          <w:tcPr>
            <w:tcW w:w="1323" w:type="dxa"/>
            <w:vAlign w:val="center"/>
          </w:tcPr>
          <w:p w14:paraId="00D3BE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p>
        </w:tc>
      </w:tr>
      <w:tr w14:paraId="306B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84C13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9.城镇化率（%）</w:t>
            </w:r>
          </w:p>
        </w:tc>
        <w:tc>
          <w:tcPr>
            <w:tcW w:w="829" w:type="dxa"/>
            <w:vAlign w:val="center"/>
          </w:tcPr>
          <w:p w14:paraId="0A3021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50</w:t>
            </w:r>
          </w:p>
        </w:tc>
        <w:tc>
          <w:tcPr>
            <w:tcW w:w="736" w:type="dxa"/>
            <w:vAlign w:val="center"/>
          </w:tcPr>
          <w:p w14:paraId="303826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&gt;50</w:t>
            </w:r>
          </w:p>
        </w:tc>
        <w:tc>
          <w:tcPr>
            <w:tcW w:w="792" w:type="dxa"/>
            <w:vAlign w:val="center"/>
          </w:tcPr>
          <w:p w14:paraId="4D83C4C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51.16</w:t>
            </w:r>
          </w:p>
        </w:tc>
        <w:tc>
          <w:tcPr>
            <w:tcW w:w="964" w:type="dxa"/>
            <w:vAlign w:val="center"/>
          </w:tcPr>
          <w:p w14:paraId="4FC4EE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0B39BD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102.3</w:t>
            </w:r>
          </w:p>
        </w:tc>
        <w:tc>
          <w:tcPr>
            <w:tcW w:w="1323" w:type="dxa"/>
            <w:vAlign w:val="center"/>
          </w:tcPr>
          <w:p w14:paraId="1FED5C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p>
        </w:tc>
      </w:tr>
      <w:tr w14:paraId="4C1F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blHeader/>
          <w:jc w:val="center"/>
        </w:trPr>
        <w:tc>
          <w:tcPr>
            <w:tcW w:w="1669" w:type="dxa"/>
            <w:vAlign w:val="center"/>
          </w:tcPr>
          <w:p w14:paraId="5CD85A9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Cs w:val="21"/>
              </w:rPr>
            </w:pPr>
            <w:r>
              <w:rPr>
                <w:rFonts w:hint="eastAsia" w:ascii="宋体" w:hAnsi="宋体" w:eastAsia="宋体" w:cs="宋体"/>
                <w:b/>
                <w:kern w:val="0"/>
                <w:sz w:val="20"/>
                <w:szCs w:val="20"/>
              </w:rPr>
              <w:t>三、民生与公共服务</w:t>
            </w:r>
          </w:p>
        </w:tc>
        <w:tc>
          <w:tcPr>
            <w:tcW w:w="829" w:type="dxa"/>
            <w:vAlign w:val="center"/>
          </w:tcPr>
          <w:p w14:paraId="77547C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36" w:type="dxa"/>
            <w:vAlign w:val="center"/>
          </w:tcPr>
          <w:p w14:paraId="1B643E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92" w:type="dxa"/>
            <w:vAlign w:val="center"/>
          </w:tcPr>
          <w:p w14:paraId="5554FC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964" w:type="dxa"/>
            <w:vAlign w:val="center"/>
          </w:tcPr>
          <w:p w14:paraId="0D02FC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027" w:type="dxa"/>
            <w:vAlign w:val="center"/>
          </w:tcPr>
          <w:p w14:paraId="16DEDC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323" w:type="dxa"/>
            <w:vAlign w:val="center"/>
          </w:tcPr>
          <w:p w14:paraId="0C3F0F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03D1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blHeader/>
          <w:jc w:val="center"/>
        </w:trPr>
        <w:tc>
          <w:tcPr>
            <w:tcW w:w="1669" w:type="dxa"/>
            <w:vAlign w:val="center"/>
          </w:tcPr>
          <w:p w14:paraId="3BABA5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Cs w:val="21"/>
              </w:rPr>
            </w:pPr>
            <w:r>
              <w:rPr>
                <w:rFonts w:hint="eastAsia" w:ascii="宋体" w:hAnsi="宋体" w:eastAsia="宋体" w:cs="宋体"/>
                <w:kern w:val="0"/>
                <w:sz w:val="20"/>
                <w:szCs w:val="20"/>
              </w:rPr>
              <w:t>10.城乡居民人均可支配收入（元）</w:t>
            </w:r>
          </w:p>
        </w:tc>
        <w:tc>
          <w:tcPr>
            <w:tcW w:w="829" w:type="dxa"/>
            <w:vAlign w:val="center"/>
          </w:tcPr>
          <w:p w14:paraId="03754F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36" w:type="dxa"/>
            <w:vAlign w:val="center"/>
          </w:tcPr>
          <w:p w14:paraId="2561CD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92" w:type="dxa"/>
            <w:vAlign w:val="center"/>
          </w:tcPr>
          <w:p w14:paraId="18B262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964" w:type="dxa"/>
            <w:vAlign w:val="center"/>
          </w:tcPr>
          <w:p w14:paraId="4472DE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027" w:type="dxa"/>
            <w:vAlign w:val="center"/>
          </w:tcPr>
          <w:p w14:paraId="58C1E8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323" w:type="dxa"/>
            <w:vAlign w:val="center"/>
          </w:tcPr>
          <w:p w14:paraId="6FEE79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9E6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1669" w:type="dxa"/>
            <w:vAlign w:val="center"/>
          </w:tcPr>
          <w:p w14:paraId="37F27822">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center"/>
              <w:rPr>
                <w:rFonts w:hint="eastAsia" w:ascii="宋体" w:hAnsi="宋体" w:eastAsia="宋体" w:cs="宋体"/>
                <w:szCs w:val="21"/>
              </w:rPr>
            </w:pPr>
            <w:r>
              <w:rPr>
                <w:rFonts w:hint="eastAsia" w:ascii="宋体" w:hAnsi="宋体" w:eastAsia="宋体" w:cs="宋体"/>
                <w:kern w:val="0"/>
                <w:sz w:val="20"/>
                <w:szCs w:val="20"/>
              </w:rPr>
              <w:t>农村居民</w:t>
            </w:r>
          </w:p>
        </w:tc>
        <w:tc>
          <w:tcPr>
            <w:tcW w:w="829" w:type="dxa"/>
            <w:vAlign w:val="center"/>
          </w:tcPr>
          <w:p w14:paraId="0FAAE0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9579</w:t>
            </w:r>
          </w:p>
        </w:tc>
        <w:tc>
          <w:tcPr>
            <w:tcW w:w="736" w:type="dxa"/>
            <w:vAlign w:val="center"/>
          </w:tcPr>
          <w:p w14:paraId="004D21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17586</w:t>
            </w:r>
          </w:p>
        </w:tc>
        <w:tc>
          <w:tcPr>
            <w:tcW w:w="792" w:type="dxa"/>
            <w:vAlign w:val="center"/>
          </w:tcPr>
          <w:p w14:paraId="4CF7EC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15237</w:t>
            </w:r>
          </w:p>
        </w:tc>
        <w:tc>
          <w:tcPr>
            <w:tcW w:w="964" w:type="dxa"/>
            <w:vAlign w:val="center"/>
          </w:tcPr>
          <w:p w14:paraId="77E3894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9.7</w:t>
            </w:r>
          </w:p>
        </w:tc>
        <w:tc>
          <w:tcPr>
            <w:tcW w:w="1027" w:type="dxa"/>
            <w:vAlign w:val="center"/>
          </w:tcPr>
          <w:p w14:paraId="47B89F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86.6</w:t>
            </w:r>
          </w:p>
        </w:tc>
        <w:tc>
          <w:tcPr>
            <w:tcW w:w="1323" w:type="dxa"/>
            <w:vAlign w:val="center"/>
          </w:tcPr>
          <w:p w14:paraId="49DFF4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3751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tblHeader/>
          <w:jc w:val="center"/>
        </w:trPr>
        <w:tc>
          <w:tcPr>
            <w:tcW w:w="1669" w:type="dxa"/>
            <w:vAlign w:val="center"/>
          </w:tcPr>
          <w:p w14:paraId="134840FF">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center"/>
              <w:rPr>
                <w:rFonts w:hint="eastAsia" w:ascii="宋体" w:hAnsi="宋体" w:eastAsia="宋体" w:cs="宋体"/>
                <w:szCs w:val="21"/>
              </w:rPr>
            </w:pPr>
            <w:r>
              <w:rPr>
                <w:rFonts w:hint="eastAsia" w:ascii="宋体" w:hAnsi="宋体" w:eastAsia="宋体" w:cs="宋体"/>
                <w:kern w:val="0"/>
                <w:sz w:val="20"/>
                <w:szCs w:val="20"/>
              </w:rPr>
              <w:t>城镇居民</w:t>
            </w:r>
          </w:p>
        </w:tc>
        <w:tc>
          <w:tcPr>
            <w:tcW w:w="829" w:type="dxa"/>
            <w:vAlign w:val="center"/>
          </w:tcPr>
          <w:p w14:paraId="12B577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23122</w:t>
            </w:r>
          </w:p>
        </w:tc>
        <w:tc>
          <w:tcPr>
            <w:tcW w:w="736" w:type="dxa"/>
            <w:vAlign w:val="center"/>
          </w:tcPr>
          <w:p w14:paraId="2F189E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37235</w:t>
            </w:r>
          </w:p>
        </w:tc>
        <w:tc>
          <w:tcPr>
            <w:tcW w:w="792" w:type="dxa"/>
            <w:vAlign w:val="center"/>
          </w:tcPr>
          <w:p w14:paraId="449CAA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35309</w:t>
            </w:r>
          </w:p>
        </w:tc>
        <w:tc>
          <w:tcPr>
            <w:tcW w:w="964" w:type="dxa"/>
            <w:vAlign w:val="center"/>
          </w:tcPr>
          <w:p w14:paraId="3861D90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8.9</w:t>
            </w:r>
          </w:p>
        </w:tc>
        <w:tc>
          <w:tcPr>
            <w:tcW w:w="1027" w:type="dxa"/>
            <w:vAlign w:val="center"/>
          </w:tcPr>
          <w:p w14:paraId="2F3E61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94.8</w:t>
            </w:r>
          </w:p>
        </w:tc>
        <w:tc>
          <w:tcPr>
            <w:tcW w:w="1323" w:type="dxa"/>
            <w:vAlign w:val="center"/>
          </w:tcPr>
          <w:p w14:paraId="2D6A82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DA3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19AF2C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11.城镇登记</w:t>
            </w:r>
          </w:p>
          <w:p w14:paraId="35932C6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失业率（%）</w:t>
            </w:r>
          </w:p>
        </w:tc>
        <w:tc>
          <w:tcPr>
            <w:tcW w:w="829" w:type="dxa"/>
            <w:vAlign w:val="center"/>
          </w:tcPr>
          <w:p w14:paraId="3430E0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4.2</w:t>
            </w:r>
          </w:p>
        </w:tc>
        <w:tc>
          <w:tcPr>
            <w:tcW w:w="736" w:type="dxa"/>
            <w:vAlign w:val="center"/>
          </w:tcPr>
          <w:p w14:paraId="6E9F3B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4.2</w:t>
            </w:r>
          </w:p>
        </w:tc>
        <w:tc>
          <w:tcPr>
            <w:tcW w:w="792" w:type="dxa"/>
            <w:vAlign w:val="center"/>
          </w:tcPr>
          <w:p w14:paraId="7C44396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4.2</w:t>
            </w:r>
          </w:p>
        </w:tc>
        <w:tc>
          <w:tcPr>
            <w:tcW w:w="964" w:type="dxa"/>
            <w:vAlign w:val="center"/>
          </w:tcPr>
          <w:p w14:paraId="77EAAE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283089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0B1E97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640B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1DAC32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12.学前三年教育毛入园率（%）</w:t>
            </w:r>
          </w:p>
        </w:tc>
        <w:tc>
          <w:tcPr>
            <w:tcW w:w="829" w:type="dxa"/>
            <w:vAlign w:val="center"/>
          </w:tcPr>
          <w:p w14:paraId="55EEEB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90</w:t>
            </w:r>
          </w:p>
        </w:tc>
        <w:tc>
          <w:tcPr>
            <w:tcW w:w="736" w:type="dxa"/>
            <w:vAlign w:val="center"/>
          </w:tcPr>
          <w:p w14:paraId="1FF23A5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&gt;90</w:t>
            </w:r>
          </w:p>
        </w:tc>
        <w:tc>
          <w:tcPr>
            <w:tcW w:w="792" w:type="dxa"/>
            <w:vAlign w:val="center"/>
          </w:tcPr>
          <w:p w14:paraId="3978C4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91.65</w:t>
            </w:r>
          </w:p>
        </w:tc>
        <w:tc>
          <w:tcPr>
            <w:tcW w:w="964" w:type="dxa"/>
            <w:vAlign w:val="center"/>
          </w:tcPr>
          <w:p w14:paraId="4EE779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18AAD4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101.8</w:t>
            </w:r>
          </w:p>
        </w:tc>
        <w:tc>
          <w:tcPr>
            <w:tcW w:w="1323" w:type="dxa"/>
            <w:vAlign w:val="center"/>
          </w:tcPr>
          <w:p w14:paraId="5FC267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1499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975DD5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13.高中阶段</w:t>
            </w:r>
          </w:p>
          <w:p w14:paraId="68E021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毛入学率（%）</w:t>
            </w:r>
          </w:p>
        </w:tc>
        <w:tc>
          <w:tcPr>
            <w:tcW w:w="829" w:type="dxa"/>
            <w:vAlign w:val="center"/>
          </w:tcPr>
          <w:p w14:paraId="698B227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89</w:t>
            </w:r>
          </w:p>
        </w:tc>
        <w:tc>
          <w:tcPr>
            <w:tcW w:w="736" w:type="dxa"/>
            <w:vAlign w:val="center"/>
          </w:tcPr>
          <w:p w14:paraId="2BBE42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&gt;90</w:t>
            </w:r>
          </w:p>
        </w:tc>
        <w:tc>
          <w:tcPr>
            <w:tcW w:w="792" w:type="dxa"/>
            <w:vAlign w:val="center"/>
          </w:tcPr>
          <w:p w14:paraId="4BBCC62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95.49</w:t>
            </w:r>
          </w:p>
        </w:tc>
        <w:tc>
          <w:tcPr>
            <w:tcW w:w="964" w:type="dxa"/>
            <w:vAlign w:val="center"/>
          </w:tcPr>
          <w:p w14:paraId="5CEBFE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2C68B9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106.1</w:t>
            </w:r>
          </w:p>
        </w:tc>
        <w:tc>
          <w:tcPr>
            <w:tcW w:w="1323" w:type="dxa"/>
            <w:vAlign w:val="center"/>
          </w:tcPr>
          <w:p w14:paraId="266C63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0335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blHeader/>
          <w:jc w:val="center"/>
        </w:trPr>
        <w:tc>
          <w:tcPr>
            <w:tcW w:w="1669" w:type="dxa"/>
            <w:vAlign w:val="center"/>
          </w:tcPr>
          <w:p w14:paraId="4E2CAF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b/>
                <w:sz w:val="24"/>
                <w:szCs w:val="24"/>
              </w:rPr>
              <w:t>指标名称</w:t>
            </w:r>
          </w:p>
        </w:tc>
        <w:tc>
          <w:tcPr>
            <w:tcW w:w="829" w:type="dxa"/>
            <w:vAlign w:val="center"/>
          </w:tcPr>
          <w:p w14:paraId="7280C8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2015年</w:t>
            </w:r>
          </w:p>
          <w:p w14:paraId="532098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b/>
                <w:sz w:val="24"/>
                <w:szCs w:val="24"/>
              </w:rPr>
              <w:t>实际</w:t>
            </w:r>
          </w:p>
        </w:tc>
        <w:tc>
          <w:tcPr>
            <w:tcW w:w="736" w:type="dxa"/>
            <w:vAlign w:val="center"/>
          </w:tcPr>
          <w:p w14:paraId="61B075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59AB9F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b/>
                <w:sz w:val="24"/>
                <w:szCs w:val="24"/>
              </w:rPr>
              <w:t>规划</w:t>
            </w:r>
          </w:p>
        </w:tc>
        <w:tc>
          <w:tcPr>
            <w:tcW w:w="792" w:type="dxa"/>
            <w:vAlign w:val="center"/>
          </w:tcPr>
          <w:p w14:paraId="7FBC46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0D0EC2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b/>
                <w:sz w:val="24"/>
                <w:szCs w:val="24"/>
              </w:rPr>
              <w:t>预计</w:t>
            </w:r>
          </w:p>
        </w:tc>
        <w:tc>
          <w:tcPr>
            <w:tcW w:w="964" w:type="dxa"/>
            <w:vAlign w:val="center"/>
          </w:tcPr>
          <w:p w14:paraId="7BEB27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b/>
                <w:sz w:val="24"/>
                <w:szCs w:val="24"/>
              </w:rPr>
              <w:t>“十三五”年均增长率（%）</w:t>
            </w:r>
          </w:p>
        </w:tc>
        <w:tc>
          <w:tcPr>
            <w:tcW w:w="1027" w:type="dxa"/>
            <w:vAlign w:val="center"/>
          </w:tcPr>
          <w:p w14:paraId="781F07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完成</w:t>
            </w:r>
          </w:p>
          <w:p w14:paraId="7F5A6A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比例性（%）</w:t>
            </w:r>
          </w:p>
        </w:tc>
        <w:tc>
          <w:tcPr>
            <w:tcW w:w="1323" w:type="dxa"/>
            <w:vAlign w:val="center"/>
          </w:tcPr>
          <w:p w14:paraId="1832B8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b/>
                <w:sz w:val="24"/>
                <w:szCs w:val="24"/>
              </w:rPr>
              <w:t>备注</w:t>
            </w:r>
          </w:p>
        </w:tc>
      </w:tr>
      <w:tr w14:paraId="7CBD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607355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14.九年义务教育巩固率（%）</w:t>
            </w:r>
          </w:p>
        </w:tc>
        <w:tc>
          <w:tcPr>
            <w:tcW w:w="829" w:type="dxa"/>
            <w:vAlign w:val="center"/>
          </w:tcPr>
          <w:p w14:paraId="6FB6E3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736" w:type="dxa"/>
            <w:vAlign w:val="center"/>
          </w:tcPr>
          <w:p w14:paraId="69440E3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&gt;95</w:t>
            </w:r>
          </w:p>
        </w:tc>
        <w:tc>
          <w:tcPr>
            <w:tcW w:w="792" w:type="dxa"/>
            <w:vAlign w:val="center"/>
          </w:tcPr>
          <w:p w14:paraId="3D5A453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101.03</w:t>
            </w:r>
          </w:p>
        </w:tc>
        <w:tc>
          <w:tcPr>
            <w:tcW w:w="964" w:type="dxa"/>
            <w:vAlign w:val="center"/>
          </w:tcPr>
          <w:p w14:paraId="4C075D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1027" w:type="dxa"/>
            <w:vAlign w:val="center"/>
          </w:tcPr>
          <w:p w14:paraId="3E888E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106.3</w:t>
            </w:r>
          </w:p>
        </w:tc>
        <w:tc>
          <w:tcPr>
            <w:tcW w:w="1323" w:type="dxa"/>
            <w:vAlign w:val="center"/>
          </w:tcPr>
          <w:p w14:paraId="52EB81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17B3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1D38EE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1</w:t>
            </w:r>
            <w:r>
              <w:rPr>
                <w:rFonts w:hint="eastAsia" w:ascii="宋体" w:hAnsi="宋体" w:eastAsia="宋体" w:cs="宋体"/>
                <w:spacing w:val="-11"/>
                <w:kern w:val="0"/>
                <w:sz w:val="20"/>
                <w:szCs w:val="20"/>
              </w:rPr>
              <w:t>5.职业技术教育在校 生人数（人）</w:t>
            </w:r>
          </w:p>
        </w:tc>
        <w:tc>
          <w:tcPr>
            <w:tcW w:w="829" w:type="dxa"/>
            <w:vAlign w:val="center"/>
          </w:tcPr>
          <w:p w14:paraId="5EDC10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736" w:type="dxa"/>
            <w:vAlign w:val="center"/>
          </w:tcPr>
          <w:p w14:paraId="17942A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8000</w:t>
            </w:r>
          </w:p>
        </w:tc>
        <w:tc>
          <w:tcPr>
            <w:tcW w:w="792" w:type="dxa"/>
            <w:vAlign w:val="center"/>
          </w:tcPr>
          <w:p w14:paraId="182A038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4825</w:t>
            </w:r>
          </w:p>
        </w:tc>
        <w:tc>
          <w:tcPr>
            <w:tcW w:w="964" w:type="dxa"/>
            <w:vAlign w:val="center"/>
          </w:tcPr>
          <w:p w14:paraId="306E240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6122A8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60.3</w:t>
            </w:r>
          </w:p>
        </w:tc>
        <w:tc>
          <w:tcPr>
            <w:tcW w:w="1323" w:type="dxa"/>
            <w:vAlign w:val="center"/>
          </w:tcPr>
          <w:p w14:paraId="18D996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52AE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1E958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16.千人医疗机构床位数（张）</w:t>
            </w:r>
          </w:p>
        </w:tc>
        <w:tc>
          <w:tcPr>
            <w:tcW w:w="829" w:type="dxa"/>
            <w:vAlign w:val="center"/>
          </w:tcPr>
          <w:p w14:paraId="05A7129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4.92</w:t>
            </w:r>
          </w:p>
        </w:tc>
        <w:tc>
          <w:tcPr>
            <w:tcW w:w="736" w:type="dxa"/>
            <w:vAlign w:val="center"/>
          </w:tcPr>
          <w:p w14:paraId="03FEBE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6</w:t>
            </w:r>
          </w:p>
        </w:tc>
        <w:tc>
          <w:tcPr>
            <w:tcW w:w="792" w:type="dxa"/>
            <w:vAlign w:val="center"/>
          </w:tcPr>
          <w:p w14:paraId="570AA0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6.05</w:t>
            </w:r>
          </w:p>
        </w:tc>
        <w:tc>
          <w:tcPr>
            <w:tcW w:w="964" w:type="dxa"/>
            <w:vAlign w:val="center"/>
          </w:tcPr>
          <w:p w14:paraId="5B94E8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22.7</w:t>
            </w:r>
          </w:p>
        </w:tc>
        <w:tc>
          <w:tcPr>
            <w:tcW w:w="1027" w:type="dxa"/>
            <w:vAlign w:val="center"/>
          </w:tcPr>
          <w:p w14:paraId="5F24E3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522968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p>
        </w:tc>
      </w:tr>
      <w:tr w14:paraId="25BE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05C1B7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spacing w:val="-11"/>
                <w:kern w:val="0"/>
                <w:sz w:val="20"/>
                <w:szCs w:val="20"/>
              </w:rPr>
              <w:t>17.千人拥有执业(助理)医生数（人）</w:t>
            </w:r>
          </w:p>
        </w:tc>
        <w:tc>
          <w:tcPr>
            <w:tcW w:w="829" w:type="dxa"/>
            <w:vAlign w:val="center"/>
          </w:tcPr>
          <w:p w14:paraId="263397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2.5</w:t>
            </w:r>
          </w:p>
        </w:tc>
        <w:tc>
          <w:tcPr>
            <w:tcW w:w="736" w:type="dxa"/>
            <w:vAlign w:val="center"/>
          </w:tcPr>
          <w:p w14:paraId="5DE72C7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2.5</w:t>
            </w:r>
          </w:p>
        </w:tc>
        <w:tc>
          <w:tcPr>
            <w:tcW w:w="792" w:type="dxa"/>
            <w:vAlign w:val="center"/>
          </w:tcPr>
          <w:p w14:paraId="4A34AA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2.2</w:t>
            </w:r>
          </w:p>
        </w:tc>
        <w:tc>
          <w:tcPr>
            <w:tcW w:w="964" w:type="dxa"/>
            <w:vAlign w:val="center"/>
          </w:tcPr>
          <w:p w14:paraId="5BFC04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59</w:t>
            </w:r>
          </w:p>
        </w:tc>
        <w:tc>
          <w:tcPr>
            <w:tcW w:w="1027" w:type="dxa"/>
            <w:vAlign w:val="center"/>
          </w:tcPr>
          <w:p w14:paraId="0D46D9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88</w:t>
            </w:r>
          </w:p>
        </w:tc>
        <w:tc>
          <w:tcPr>
            <w:tcW w:w="1323" w:type="dxa"/>
            <w:vAlign w:val="center"/>
          </w:tcPr>
          <w:p w14:paraId="4C459E4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p>
        </w:tc>
      </w:tr>
      <w:tr w14:paraId="1E65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687341C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18.基本社会保险覆盖率（%）</w:t>
            </w:r>
          </w:p>
        </w:tc>
        <w:tc>
          <w:tcPr>
            <w:tcW w:w="829" w:type="dxa"/>
            <w:vAlign w:val="center"/>
          </w:tcPr>
          <w:p w14:paraId="3CF70F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736" w:type="dxa"/>
            <w:vAlign w:val="center"/>
          </w:tcPr>
          <w:p w14:paraId="2ECC99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&gt;90</w:t>
            </w:r>
          </w:p>
        </w:tc>
        <w:tc>
          <w:tcPr>
            <w:tcW w:w="792" w:type="dxa"/>
            <w:vAlign w:val="center"/>
          </w:tcPr>
          <w:p w14:paraId="08DB94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90</w:t>
            </w:r>
          </w:p>
        </w:tc>
        <w:tc>
          <w:tcPr>
            <w:tcW w:w="964" w:type="dxa"/>
            <w:vAlign w:val="center"/>
          </w:tcPr>
          <w:p w14:paraId="4135CB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795A0A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0CDE96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3CB3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24EE9E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19.通村客运</w:t>
            </w:r>
          </w:p>
          <w:p w14:paraId="451CD7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覆盖率（%）</w:t>
            </w:r>
          </w:p>
        </w:tc>
        <w:tc>
          <w:tcPr>
            <w:tcW w:w="829" w:type="dxa"/>
            <w:vAlign w:val="center"/>
          </w:tcPr>
          <w:p w14:paraId="070EC9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99</w:t>
            </w:r>
          </w:p>
        </w:tc>
        <w:tc>
          <w:tcPr>
            <w:tcW w:w="736" w:type="dxa"/>
            <w:vAlign w:val="center"/>
          </w:tcPr>
          <w:p w14:paraId="54D3380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100</w:t>
            </w:r>
          </w:p>
        </w:tc>
        <w:tc>
          <w:tcPr>
            <w:tcW w:w="792" w:type="dxa"/>
            <w:vAlign w:val="center"/>
          </w:tcPr>
          <w:p w14:paraId="7821CC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w:t>
            </w:r>
          </w:p>
        </w:tc>
        <w:tc>
          <w:tcPr>
            <w:tcW w:w="964" w:type="dxa"/>
            <w:vAlign w:val="center"/>
          </w:tcPr>
          <w:p w14:paraId="0F4944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347A80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1850A1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0F7C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114EBEB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20.村级宽带</w:t>
            </w:r>
          </w:p>
          <w:p w14:paraId="2CB4861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覆盖率（%）</w:t>
            </w:r>
          </w:p>
        </w:tc>
        <w:tc>
          <w:tcPr>
            <w:tcW w:w="829" w:type="dxa"/>
            <w:vAlign w:val="center"/>
          </w:tcPr>
          <w:p w14:paraId="2B79B5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90</w:t>
            </w:r>
          </w:p>
        </w:tc>
        <w:tc>
          <w:tcPr>
            <w:tcW w:w="736" w:type="dxa"/>
            <w:vAlign w:val="center"/>
          </w:tcPr>
          <w:p w14:paraId="469FB13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100</w:t>
            </w:r>
          </w:p>
        </w:tc>
        <w:tc>
          <w:tcPr>
            <w:tcW w:w="792" w:type="dxa"/>
            <w:vAlign w:val="center"/>
          </w:tcPr>
          <w:p w14:paraId="396E5D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w:t>
            </w:r>
          </w:p>
        </w:tc>
        <w:tc>
          <w:tcPr>
            <w:tcW w:w="964" w:type="dxa"/>
            <w:vAlign w:val="center"/>
          </w:tcPr>
          <w:p w14:paraId="50F1504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7D9F2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2C2F8E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65A9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blHeader/>
          <w:jc w:val="center"/>
        </w:trPr>
        <w:tc>
          <w:tcPr>
            <w:tcW w:w="1669" w:type="dxa"/>
            <w:vAlign w:val="center"/>
          </w:tcPr>
          <w:p w14:paraId="494DDB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b/>
                <w:kern w:val="0"/>
                <w:sz w:val="20"/>
                <w:szCs w:val="20"/>
              </w:rPr>
              <w:t>四、资源与生态环境</w:t>
            </w:r>
          </w:p>
        </w:tc>
        <w:tc>
          <w:tcPr>
            <w:tcW w:w="829" w:type="dxa"/>
            <w:vAlign w:val="center"/>
          </w:tcPr>
          <w:p w14:paraId="7BC519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36" w:type="dxa"/>
            <w:vAlign w:val="center"/>
          </w:tcPr>
          <w:p w14:paraId="25267B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792" w:type="dxa"/>
            <w:vAlign w:val="center"/>
          </w:tcPr>
          <w:p w14:paraId="5C6AA1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964" w:type="dxa"/>
            <w:vAlign w:val="center"/>
          </w:tcPr>
          <w:p w14:paraId="6E27F9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027" w:type="dxa"/>
            <w:vAlign w:val="center"/>
          </w:tcPr>
          <w:p w14:paraId="0E6D7B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p>
        </w:tc>
        <w:tc>
          <w:tcPr>
            <w:tcW w:w="1323" w:type="dxa"/>
            <w:vAlign w:val="center"/>
          </w:tcPr>
          <w:p w14:paraId="1B7F0C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546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78CDABF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21.耕地保有量面积（公顷）</w:t>
            </w:r>
          </w:p>
        </w:tc>
        <w:tc>
          <w:tcPr>
            <w:tcW w:w="829" w:type="dxa"/>
            <w:vAlign w:val="center"/>
          </w:tcPr>
          <w:p w14:paraId="750A95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736" w:type="dxa"/>
            <w:vAlign w:val="center"/>
          </w:tcPr>
          <w:p w14:paraId="33FD7DD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72593</w:t>
            </w:r>
          </w:p>
        </w:tc>
        <w:tc>
          <w:tcPr>
            <w:tcW w:w="792" w:type="dxa"/>
            <w:vAlign w:val="center"/>
          </w:tcPr>
          <w:p w14:paraId="532EE9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71000</w:t>
            </w:r>
          </w:p>
        </w:tc>
        <w:tc>
          <w:tcPr>
            <w:tcW w:w="964" w:type="dxa"/>
            <w:vAlign w:val="center"/>
          </w:tcPr>
          <w:p w14:paraId="3C7A3A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280AC0B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323" w:type="dxa"/>
            <w:vAlign w:val="center"/>
          </w:tcPr>
          <w:p w14:paraId="7DB500D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p>
        </w:tc>
      </w:tr>
      <w:tr w14:paraId="600F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48737C5E">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center"/>
              <w:rPr>
                <w:rFonts w:hint="eastAsia" w:ascii="宋体" w:hAnsi="宋体" w:eastAsia="宋体" w:cs="宋体"/>
                <w:szCs w:val="21"/>
              </w:rPr>
            </w:pPr>
            <w:r>
              <w:rPr>
                <w:rFonts w:hint="eastAsia" w:ascii="宋体" w:hAnsi="宋体" w:eastAsia="宋体" w:cs="宋体"/>
                <w:kern w:val="0"/>
                <w:sz w:val="20"/>
                <w:szCs w:val="20"/>
              </w:rPr>
              <w:t>基本农田面积</w:t>
            </w:r>
          </w:p>
        </w:tc>
        <w:tc>
          <w:tcPr>
            <w:tcW w:w="829" w:type="dxa"/>
            <w:vAlign w:val="center"/>
          </w:tcPr>
          <w:p w14:paraId="5A0674E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sz w:val="20"/>
                <w:szCs w:val="20"/>
              </w:rPr>
            </w:pPr>
            <w:r>
              <w:rPr>
                <w:rFonts w:hint="eastAsia" w:ascii="宋体" w:hAnsi="宋体" w:eastAsia="宋体" w:cs="宋体"/>
                <w:spacing w:val="-17"/>
                <w:sz w:val="20"/>
                <w:szCs w:val="20"/>
              </w:rPr>
              <w:t>72972.3</w:t>
            </w:r>
          </w:p>
        </w:tc>
        <w:tc>
          <w:tcPr>
            <w:tcW w:w="736" w:type="dxa"/>
            <w:vAlign w:val="center"/>
          </w:tcPr>
          <w:p w14:paraId="2D72B8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61647</w:t>
            </w:r>
          </w:p>
        </w:tc>
        <w:tc>
          <w:tcPr>
            <w:tcW w:w="792" w:type="dxa"/>
            <w:vAlign w:val="center"/>
          </w:tcPr>
          <w:p w14:paraId="33C616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60667</w:t>
            </w:r>
          </w:p>
        </w:tc>
        <w:tc>
          <w:tcPr>
            <w:tcW w:w="964" w:type="dxa"/>
            <w:vAlign w:val="center"/>
          </w:tcPr>
          <w:p w14:paraId="52CB30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-0.365</w:t>
            </w:r>
          </w:p>
        </w:tc>
        <w:tc>
          <w:tcPr>
            <w:tcW w:w="1027" w:type="dxa"/>
            <w:vAlign w:val="center"/>
          </w:tcPr>
          <w:p w14:paraId="4E17ACC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323" w:type="dxa"/>
            <w:vAlign w:val="center"/>
          </w:tcPr>
          <w:p w14:paraId="6EDB2A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7A0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4D3D62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r>
              <w:rPr>
                <w:rFonts w:hint="eastAsia" w:ascii="宋体" w:hAnsi="宋体" w:eastAsia="宋体" w:cs="宋体"/>
                <w:kern w:val="0"/>
                <w:sz w:val="20"/>
                <w:szCs w:val="20"/>
              </w:rPr>
              <w:t>22.单位GDP能耗（吨标煤/万元）</w:t>
            </w:r>
          </w:p>
        </w:tc>
        <w:tc>
          <w:tcPr>
            <w:tcW w:w="829" w:type="dxa"/>
            <w:vAlign w:val="center"/>
          </w:tcPr>
          <w:p w14:paraId="5DDA14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0.783</w:t>
            </w:r>
          </w:p>
        </w:tc>
        <w:tc>
          <w:tcPr>
            <w:tcW w:w="736" w:type="dxa"/>
            <w:vAlign w:val="center"/>
          </w:tcPr>
          <w:p w14:paraId="4719BB4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0.67</w:t>
            </w:r>
          </w:p>
        </w:tc>
        <w:tc>
          <w:tcPr>
            <w:tcW w:w="792" w:type="dxa"/>
            <w:vAlign w:val="center"/>
          </w:tcPr>
          <w:p w14:paraId="7ECA40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0.67</w:t>
            </w:r>
          </w:p>
        </w:tc>
        <w:tc>
          <w:tcPr>
            <w:tcW w:w="964" w:type="dxa"/>
            <w:vAlign w:val="center"/>
          </w:tcPr>
          <w:p w14:paraId="38FA18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00A37C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48E78F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6A7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blHeader/>
          <w:jc w:val="center"/>
        </w:trPr>
        <w:tc>
          <w:tcPr>
            <w:tcW w:w="1669" w:type="dxa"/>
            <w:vAlign w:val="center"/>
          </w:tcPr>
          <w:p w14:paraId="7B44FD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23.单位工业增加值用水量</w:t>
            </w:r>
          </w:p>
          <w:p w14:paraId="1560B2B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Cs w:val="21"/>
              </w:rPr>
            </w:pPr>
            <w:r>
              <w:rPr>
                <w:rFonts w:hint="eastAsia" w:ascii="宋体" w:hAnsi="宋体" w:eastAsia="宋体" w:cs="宋体"/>
                <w:spacing w:val="-11"/>
                <w:kern w:val="0"/>
                <w:sz w:val="20"/>
                <w:szCs w:val="20"/>
              </w:rPr>
              <w:t>（吨/万元）</w:t>
            </w:r>
          </w:p>
        </w:tc>
        <w:tc>
          <w:tcPr>
            <w:tcW w:w="829" w:type="dxa"/>
            <w:vAlign w:val="center"/>
          </w:tcPr>
          <w:p w14:paraId="34C1E8B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23.46</w:t>
            </w:r>
          </w:p>
        </w:tc>
        <w:tc>
          <w:tcPr>
            <w:tcW w:w="736" w:type="dxa"/>
            <w:vAlign w:val="center"/>
          </w:tcPr>
          <w:p w14:paraId="144B2B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22</w:t>
            </w:r>
          </w:p>
        </w:tc>
        <w:tc>
          <w:tcPr>
            <w:tcW w:w="792" w:type="dxa"/>
            <w:vAlign w:val="center"/>
          </w:tcPr>
          <w:p w14:paraId="3DB3A0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22</w:t>
            </w:r>
          </w:p>
        </w:tc>
        <w:tc>
          <w:tcPr>
            <w:tcW w:w="964" w:type="dxa"/>
            <w:vAlign w:val="center"/>
          </w:tcPr>
          <w:p w14:paraId="4B0784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3AE754D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30281C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6360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69" w:type="dxa"/>
            <w:vAlign w:val="center"/>
          </w:tcPr>
          <w:p w14:paraId="44D5434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Cs w:val="21"/>
              </w:rPr>
            </w:pPr>
            <w:r>
              <w:rPr>
                <w:rFonts w:hint="eastAsia" w:ascii="宋体" w:hAnsi="宋体" w:eastAsia="宋体" w:cs="宋体"/>
                <w:spacing w:val="-11"/>
                <w:kern w:val="0"/>
                <w:sz w:val="20"/>
                <w:szCs w:val="20"/>
              </w:rPr>
              <w:t>24.工业固体废物综合利用率（%）</w:t>
            </w:r>
          </w:p>
        </w:tc>
        <w:tc>
          <w:tcPr>
            <w:tcW w:w="829" w:type="dxa"/>
            <w:vAlign w:val="center"/>
          </w:tcPr>
          <w:p w14:paraId="2DC6F9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91.4</w:t>
            </w:r>
          </w:p>
        </w:tc>
        <w:tc>
          <w:tcPr>
            <w:tcW w:w="736" w:type="dxa"/>
            <w:vAlign w:val="center"/>
          </w:tcPr>
          <w:p w14:paraId="66D230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98</w:t>
            </w:r>
          </w:p>
        </w:tc>
        <w:tc>
          <w:tcPr>
            <w:tcW w:w="792" w:type="dxa"/>
            <w:vAlign w:val="center"/>
          </w:tcPr>
          <w:p w14:paraId="62BC63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98</w:t>
            </w:r>
          </w:p>
        </w:tc>
        <w:tc>
          <w:tcPr>
            <w:tcW w:w="964" w:type="dxa"/>
            <w:vAlign w:val="center"/>
          </w:tcPr>
          <w:p w14:paraId="0E9B04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3F3E5A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397455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2C27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blHeader/>
          <w:jc w:val="center"/>
        </w:trPr>
        <w:tc>
          <w:tcPr>
            <w:tcW w:w="1669" w:type="dxa"/>
            <w:vAlign w:val="center"/>
          </w:tcPr>
          <w:p w14:paraId="519402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b/>
                <w:sz w:val="24"/>
                <w:szCs w:val="24"/>
              </w:rPr>
              <w:t>指标名称</w:t>
            </w:r>
          </w:p>
        </w:tc>
        <w:tc>
          <w:tcPr>
            <w:tcW w:w="829" w:type="dxa"/>
            <w:vAlign w:val="center"/>
          </w:tcPr>
          <w:p w14:paraId="2FD74A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2015年</w:t>
            </w:r>
          </w:p>
          <w:p w14:paraId="1AB7A0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实际</w:t>
            </w:r>
          </w:p>
        </w:tc>
        <w:tc>
          <w:tcPr>
            <w:tcW w:w="736" w:type="dxa"/>
            <w:vAlign w:val="center"/>
          </w:tcPr>
          <w:p w14:paraId="2CD034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300BD6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b/>
                <w:sz w:val="24"/>
                <w:szCs w:val="24"/>
              </w:rPr>
              <w:t>规划</w:t>
            </w:r>
          </w:p>
        </w:tc>
        <w:tc>
          <w:tcPr>
            <w:tcW w:w="792" w:type="dxa"/>
            <w:vAlign w:val="center"/>
          </w:tcPr>
          <w:p w14:paraId="12B516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2020年</w:t>
            </w:r>
          </w:p>
          <w:p w14:paraId="6A2D0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预计</w:t>
            </w:r>
          </w:p>
        </w:tc>
        <w:tc>
          <w:tcPr>
            <w:tcW w:w="964" w:type="dxa"/>
            <w:vAlign w:val="center"/>
          </w:tcPr>
          <w:p w14:paraId="38315D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“十三五”年均增长率（%）</w:t>
            </w:r>
          </w:p>
        </w:tc>
        <w:tc>
          <w:tcPr>
            <w:tcW w:w="1027" w:type="dxa"/>
            <w:vAlign w:val="center"/>
          </w:tcPr>
          <w:p w14:paraId="29DB4A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完成</w:t>
            </w:r>
          </w:p>
          <w:p w14:paraId="438CB0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b/>
                <w:sz w:val="24"/>
                <w:szCs w:val="24"/>
              </w:rPr>
              <w:t>比例性（%）</w:t>
            </w:r>
          </w:p>
        </w:tc>
        <w:tc>
          <w:tcPr>
            <w:tcW w:w="1323" w:type="dxa"/>
            <w:vAlign w:val="center"/>
          </w:tcPr>
          <w:p w14:paraId="4CD1A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b/>
                <w:sz w:val="24"/>
                <w:szCs w:val="24"/>
              </w:rPr>
              <w:t>备注</w:t>
            </w:r>
          </w:p>
        </w:tc>
      </w:tr>
      <w:tr w14:paraId="543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blHeader/>
          <w:jc w:val="center"/>
        </w:trPr>
        <w:tc>
          <w:tcPr>
            <w:tcW w:w="1669" w:type="dxa"/>
            <w:vAlign w:val="center"/>
          </w:tcPr>
          <w:p w14:paraId="771F1DB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pacing w:val="-11"/>
                <w:szCs w:val="21"/>
              </w:rPr>
            </w:pPr>
            <w:r>
              <w:rPr>
                <w:rFonts w:hint="eastAsia" w:ascii="宋体" w:hAnsi="宋体" w:eastAsia="宋体" w:cs="宋体"/>
                <w:spacing w:val="-11"/>
                <w:kern w:val="0"/>
                <w:sz w:val="20"/>
                <w:szCs w:val="20"/>
              </w:rPr>
              <w:t>25.森林覆盖率（%）</w:t>
            </w:r>
          </w:p>
        </w:tc>
        <w:tc>
          <w:tcPr>
            <w:tcW w:w="829" w:type="dxa"/>
            <w:vAlign w:val="center"/>
          </w:tcPr>
          <w:p w14:paraId="37EE22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51.8</w:t>
            </w:r>
          </w:p>
        </w:tc>
        <w:tc>
          <w:tcPr>
            <w:tcW w:w="736" w:type="dxa"/>
            <w:vAlign w:val="center"/>
          </w:tcPr>
          <w:p w14:paraId="106753C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60</w:t>
            </w:r>
          </w:p>
        </w:tc>
        <w:tc>
          <w:tcPr>
            <w:tcW w:w="792" w:type="dxa"/>
            <w:vAlign w:val="center"/>
          </w:tcPr>
          <w:p w14:paraId="197D8D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59.29</w:t>
            </w:r>
          </w:p>
        </w:tc>
        <w:tc>
          <w:tcPr>
            <w:tcW w:w="964" w:type="dxa"/>
            <w:vAlign w:val="center"/>
          </w:tcPr>
          <w:p w14:paraId="113793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6C5D37F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98.8</w:t>
            </w:r>
          </w:p>
        </w:tc>
        <w:tc>
          <w:tcPr>
            <w:tcW w:w="1323" w:type="dxa"/>
            <w:vAlign w:val="center"/>
          </w:tcPr>
          <w:p w14:paraId="6308A8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3A12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blHeader/>
          <w:jc w:val="center"/>
        </w:trPr>
        <w:tc>
          <w:tcPr>
            <w:tcW w:w="1669" w:type="dxa"/>
            <w:vAlign w:val="center"/>
          </w:tcPr>
          <w:p w14:paraId="178039A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pacing w:val="-11"/>
                <w:szCs w:val="21"/>
              </w:rPr>
            </w:pPr>
            <w:r>
              <w:rPr>
                <w:rFonts w:hint="eastAsia" w:ascii="宋体" w:hAnsi="宋体" w:eastAsia="宋体" w:cs="宋体"/>
                <w:spacing w:val="-11"/>
                <w:kern w:val="0"/>
                <w:sz w:val="20"/>
                <w:szCs w:val="20"/>
              </w:rPr>
              <w:t>26.城区和镇区污水集中处理率（%）</w:t>
            </w:r>
          </w:p>
        </w:tc>
        <w:tc>
          <w:tcPr>
            <w:tcW w:w="829" w:type="dxa"/>
            <w:vAlign w:val="center"/>
          </w:tcPr>
          <w:p w14:paraId="3BAB0E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736" w:type="dxa"/>
            <w:vAlign w:val="center"/>
          </w:tcPr>
          <w:p w14:paraId="0A6FE1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&gt;95</w:t>
            </w:r>
          </w:p>
        </w:tc>
        <w:tc>
          <w:tcPr>
            <w:tcW w:w="792" w:type="dxa"/>
            <w:vAlign w:val="center"/>
          </w:tcPr>
          <w:p w14:paraId="605D40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90</w:t>
            </w:r>
          </w:p>
        </w:tc>
        <w:tc>
          <w:tcPr>
            <w:tcW w:w="964" w:type="dxa"/>
            <w:vAlign w:val="center"/>
          </w:tcPr>
          <w:p w14:paraId="09317A8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1027" w:type="dxa"/>
            <w:vAlign w:val="center"/>
          </w:tcPr>
          <w:p w14:paraId="203FC8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94.7</w:t>
            </w:r>
          </w:p>
        </w:tc>
        <w:tc>
          <w:tcPr>
            <w:tcW w:w="1323" w:type="dxa"/>
            <w:vAlign w:val="center"/>
          </w:tcPr>
          <w:p w14:paraId="22DDDD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4524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blHeader/>
          <w:jc w:val="center"/>
        </w:trPr>
        <w:tc>
          <w:tcPr>
            <w:tcW w:w="1669" w:type="dxa"/>
            <w:vAlign w:val="center"/>
          </w:tcPr>
          <w:p w14:paraId="7D81B1B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pacing w:val="-11"/>
                <w:szCs w:val="21"/>
              </w:rPr>
            </w:pPr>
            <w:r>
              <w:rPr>
                <w:rFonts w:hint="eastAsia" w:ascii="宋体" w:hAnsi="宋体" w:eastAsia="宋体" w:cs="宋体"/>
                <w:spacing w:val="-11"/>
                <w:kern w:val="0"/>
                <w:sz w:val="20"/>
                <w:szCs w:val="20"/>
              </w:rPr>
              <w:t>27.城乡生活垃圾无害化处理率（%）</w:t>
            </w:r>
          </w:p>
        </w:tc>
        <w:tc>
          <w:tcPr>
            <w:tcW w:w="829" w:type="dxa"/>
            <w:vAlign w:val="center"/>
          </w:tcPr>
          <w:p w14:paraId="5DBA91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94.8</w:t>
            </w:r>
          </w:p>
        </w:tc>
        <w:tc>
          <w:tcPr>
            <w:tcW w:w="736" w:type="dxa"/>
            <w:vAlign w:val="center"/>
          </w:tcPr>
          <w:p w14:paraId="2A8914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＞95</w:t>
            </w:r>
          </w:p>
        </w:tc>
        <w:tc>
          <w:tcPr>
            <w:tcW w:w="792" w:type="dxa"/>
            <w:vAlign w:val="center"/>
          </w:tcPr>
          <w:p w14:paraId="7E0740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80</w:t>
            </w:r>
          </w:p>
        </w:tc>
        <w:tc>
          <w:tcPr>
            <w:tcW w:w="964" w:type="dxa"/>
            <w:vAlign w:val="center"/>
          </w:tcPr>
          <w:p w14:paraId="71D674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4A4AC1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84.2</w:t>
            </w:r>
          </w:p>
        </w:tc>
        <w:tc>
          <w:tcPr>
            <w:tcW w:w="1323" w:type="dxa"/>
            <w:vAlign w:val="center"/>
          </w:tcPr>
          <w:p w14:paraId="7E6D5E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r w14:paraId="303E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jc w:val="center"/>
        </w:trPr>
        <w:tc>
          <w:tcPr>
            <w:tcW w:w="1669" w:type="dxa"/>
            <w:vAlign w:val="center"/>
          </w:tcPr>
          <w:p w14:paraId="3D9C48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pacing w:val="-11"/>
                <w:szCs w:val="21"/>
              </w:rPr>
            </w:pPr>
            <w:r>
              <w:rPr>
                <w:rFonts w:hint="eastAsia" w:ascii="宋体" w:hAnsi="宋体" w:eastAsia="宋体" w:cs="宋体"/>
                <w:spacing w:val="-11"/>
                <w:kern w:val="0"/>
                <w:sz w:val="20"/>
                <w:szCs w:val="20"/>
              </w:rPr>
              <w:t>28.城区环境空气质量达标率（%）</w:t>
            </w:r>
          </w:p>
        </w:tc>
        <w:tc>
          <w:tcPr>
            <w:tcW w:w="829" w:type="dxa"/>
            <w:vAlign w:val="center"/>
          </w:tcPr>
          <w:p w14:paraId="5AC3E8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736" w:type="dxa"/>
            <w:vAlign w:val="center"/>
          </w:tcPr>
          <w:p w14:paraId="75BF4C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＞95</w:t>
            </w:r>
          </w:p>
        </w:tc>
        <w:tc>
          <w:tcPr>
            <w:tcW w:w="792" w:type="dxa"/>
            <w:vAlign w:val="center"/>
          </w:tcPr>
          <w:p w14:paraId="4457394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95</w:t>
            </w:r>
          </w:p>
        </w:tc>
        <w:tc>
          <w:tcPr>
            <w:tcW w:w="964" w:type="dxa"/>
            <w:vAlign w:val="center"/>
          </w:tcPr>
          <w:p w14:paraId="4D0A80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71E68A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13689C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21"/>
              </w:rPr>
            </w:pPr>
          </w:p>
        </w:tc>
      </w:tr>
      <w:tr w14:paraId="4050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blHeader/>
          <w:jc w:val="center"/>
        </w:trPr>
        <w:tc>
          <w:tcPr>
            <w:tcW w:w="1669" w:type="dxa"/>
            <w:vAlign w:val="center"/>
          </w:tcPr>
          <w:p w14:paraId="0F3D86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pacing w:val="-11"/>
                <w:szCs w:val="21"/>
              </w:rPr>
            </w:pPr>
            <w:r>
              <w:rPr>
                <w:rFonts w:hint="eastAsia" w:ascii="宋体" w:hAnsi="宋体" w:eastAsia="宋体" w:cs="宋体"/>
                <w:spacing w:val="-17"/>
                <w:kern w:val="0"/>
                <w:sz w:val="20"/>
                <w:szCs w:val="20"/>
              </w:rPr>
              <w:t>29.集中式饮用水源地水质达标率（%）</w:t>
            </w:r>
          </w:p>
        </w:tc>
        <w:tc>
          <w:tcPr>
            <w:tcW w:w="829" w:type="dxa"/>
            <w:vAlign w:val="center"/>
          </w:tcPr>
          <w:p w14:paraId="05487F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w:t>
            </w:r>
          </w:p>
        </w:tc>
        <w:tc>
          <w:tcPr>
            <w:tcW w:w="736" w:type="dxa"/>
            <w:vAlign w:val="center"/>
          </w:tcPr>
          <w:p w14:paraId="0B50017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100</w:t>
            </w:r>
          </w:p>
        </w:tc>
        <w:tc>
          <w:tcPr>
            <w:tcW w:w="792" w:type="dxa"/>
            <w:vAlign w:val="center"/>
          </w:tcPr>
          <w:p w14:paraId="0D7D7A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100</w:t>
            </w:r>
          </w:p>
        </w:tc>
        <w:tc>
          <w:tcPr>
            <w:tcW w:w="964" w:type="dxa"/>
            <w:vAlign w:val="center"/>
          </w:tcPr>
          <w:p w14:paraId="0B6B8A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rPr>
              <w:t>——</w:t>
            </w:r>
          </w:p>
        </w:tc>
        <w:tc>
          <w:tcPr>
            <w:tcW w:w="1027" w:type="dxa"/>
            <w:vAlign w:val="center"/>
          </w:tcPr>
          <w:p w14:paraId="10A827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0"/>
                <w:szCs w:val="20"/>
              </w:rPr>
            </w:pPr>
            <w:r>
              <w:rPr>
                <w:rFonts w:hint="eastAsia" w:ascii="宋体" w:hAnsi="宋体" w:eastAsia="宋体" w:cs="宋体"/>
                <w:sz w:val="20"/>
                <w:szCs w:val="20"/>
              </w:rPr>
              <w:t>100</w:t>
            </w:r>
          </w:p>
        </w:tc>
        <w:tc>
          <w:tcPr>
            <w:tcW w:w="1323" w:type="dxa"/>
            <w:vAlign w:val="center"/>
          </w:tcPr>
          <w:p w14:paraId="36D8AC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Cs w:val="21"/>
              </w:rPr>
            </w:pPr>
          </w:p>
        </w:tc>
      </w:tr>
    </w:tbl>
    <w:p w14:paraId="1661AF68">
      <w:pPr>
        <w:rPr>
          <w:rFonts w:hint="eastAsia" w:ascii="宋体" w:hAnsi="宋体" w:eastAsia="宋体" w:cs="宋体"/>
          <w:bCs/>
          <w:sz w:val="36"/>
          <w:szCs w:val="36"/>
        </w:rPr>
        <w:sectPr>
          <w:headerReference r:id="rId10" w:type="default"/>
          <w:footerReference r:id="rId11" w:type="default"/>
          <w:pgSz w:w="8392" w:h="11850"/>
          <w:pgMar w:top="1247" w:right="879" w:bottom="1020" w:left="879" w:header="851" w:footer="992" w:gutter="0"/>
          <w:pgNumType w:fmt="decimal" w:start="1"/>
          <w:cols w:space="425" w:num="1"/>
          <w:rtlGutter w:val="0"/>
          <w:docGrid w:type="lines" w:linePitch="456" w:charSpace="0"/>
        </w:sectPr>
      </w:pPr>
      <w:bookmarkStart w:id="13" w:name="_Toc25111"/>
      <w:r>
        <w:rPr>
          <w:rFonts w:hint="eastAsia" w:ascii="宋体" w:hAnsi="宋体" w:eastAsia="宋体" w:cs="宋体"/>
          <w:bCs/>
          <w:sz w:val="36"/>
          <w:szCs w:val="36"/>
        </w:rPr>
        <w:br w:type="page"/>
      </w:r>
    </w:p>
    <w:p w14:paraId="1EAF4010">
      <w:pPr>
        <w:tabs>
          <w:tab w:val="center" w:pos="4153"/>
          <w:tab w:val="right" w:pos="8306"/>
        </w:tabs>
        <w:adjustRightInd w:val="0"/>
        <w:spacing w:line="600" w:lineRule="exact"/>
        <w:jc w:val="center"/>
        <w:outlineLvl w:val="0"/>
        <w:rPr>
          <w:rFonts w:hint="eastAsia" w:ascii="宋体" w:hAnsi="宋体" w:eastAsia="宋体" w:cs="宋体"/>
          <w:b/>
          <w:bCs w:val="0"/>
          <w:sz w:val="36"/>
          <w:szCs w:val="36"/>
        </w:rPr>
      </w:pPr>
      <w:r>
        <w:rPr>
          <w:rFonts w:hint="eastAsia" w:ascii="宋体" w:hAnsi="宋体" w:eastAsia="宋体" w:cs="宋体"/>
          <w:b/>
          <w:bCs w:val="0"/>
          <w:sz w:val="36"/>
          <w:szCs w:val="36"/>
        </w:rPr>
        <w:t>第二章  形势任务</w:t>
      </w:r>
      <w:bookmarkEnd w:id="13"/>
    </w:p>
    <w:p w14:paraId="386C28A3">
      <w:pPr>
        <w:tabs>
          <w:tab w:val="center" w:pos="4153"/>
          <w:tab w:val="right" w:pos="8306"/>
        </w:tabs>
        <w:adjustRightInd w:val="0"/>
        <w:spacing w:line="600" w:lineRule="exact"/>
        <w:ind w:firstLine="640" w:firstLineChars="200"/>
        <w:jc w:val="both"/>
        <w:rPr>
          <w:rFonts w:hint="eastAsia" w:ascii="宋体" w:hAnsi="宋体" w:eastAsia="宋体" w:cs="宋体"/>
          <w:sz w:val="32"/>
          <w:szCs w:val="32"/>
        </w:rPr>
      </w:pPr>
    </w:p>
    <w:p w14:paraId="319AD621">
      <w:pPr>
        <w:keepNext w:val="0"/>
        <w:keepLines w:val="0"/>
        <w:pageBreakBefore w:val="0"/>
        <w:widowControl w:val="0"/>
        <w:tabs>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bCs/>
          <w:sz w:val="28"/>
          <w:szCs w:val="28"/>
        </w:rPr>
        <w:t>科学谋划“十四五”规划和二〇三五年远景目标，必须</w:t>
      </w:r>
      <w:r>
        <w:rPr>
          <w:rFonts w:hint="eastAsia" w:ascii="宋体" w:hAnsi="宋体" w:eastAsia="宋体" w:cs="宋体"/>
          <w:sz w:val="28"/>
          <w:szCs w:val="28"/>
        </w:rPr>
        <w:t>跳出绥阳、站位全省、面向成渝，</w:t>
      </w:r>
      <w:r>
        <w:rPr>
          <w:rFonts w:hint="eastAsia" w:ascii="宋体" w:hAnsi="宋体" w:eastAsia="宋体" w:cs="宋体"/>
          <w:bCs/>
          <w:sz w:val="28"/>
          <w:szCs w:val="28"/>
        </w:rPr>
        <w:t>认真研判当前面临的形势，抢抓发展机遇，积极应对挑战，</w:t>
      </w:r>
      <w:r>
        <w:rPr>
          <w:rFonts w:hint="eastAsia" w:ascii="宋体" w:hAnsi="宋体" w:eastAsia="宋体" w:cs="宋体"/>
          <w:sz w:val="28"/>
          <w:szCs w:val="28"/>
        </w:rPr>
        <w:t>奋力实现社会主义现代化建设精彩开局。</w:t>
      </w:r>
    </w:p>
    <w:p w14:paraId="53E6A295">
      <w:pPr>
        <w:keepNext w:val="0"/>
        <w:keepLines w:val="0"/>
        <w:pageBreakBefore w:val="0"/>
        <w:widowControl w:val="0"/>
        <w:kinsoku/>
        <w:wordWrap/>
        <w:overflowPunct/>
        <w:topLinePunct w:val="0"/>
        <w:autoSpaceDE/>
        <w:autoSpaceDN/>
        <w:bidi w:val="0"/>
        <w:snapToGrid/>
        <w:spacing w:line="520" w:lineRule="exact"/>
        <w:textAlignment w:val="auto"/>
        <w:rPr>
          <w:rFonts w:hint="eastAsia" w:ascii="宋体" w:hAnsi="宋体" w:eastAsia="宋体" w:cs="宋体"/>
          <w:sz w:val="30"/>
          <w:szCs w:val="30"/>
        </w:rPr>
      </w:pPr>
    </w:p>
    <w:p w14:paraId="42D7C694">
      <w:pPr>
        <w:keepNext w:val="0"/>
        <w:keepLines w:val="0"/>
        <w:pageBreakBefore w:val="0"/>
        <w:widowControl w:val="0"/>
        <w:numPr>
          <w:ilvl w:val="0"/>
          <w:numId w:val="1"/>
        </w:numPr>
        <w:tabs>
          <w:tab w:val="center" w:pos="4153"/>
          <w:tab w:val="right" w:pos="8306"/>
        </w:tabs>
        <w:kinsoku/>
        <w:wordWrap/>
        <w:overflowPunct/>
        <w:topLinePunct w:val="0"/>
        <w:autoSpaceDE/>
        <w:autoSpaceDN/>
        <w:bidi w:val="0"/>
        <w:adjustRightInd w:val="0"/>
        <w:snapToGrid/>
        <w:spacing w:line="520" w:lineRule="exact"/>
        <w:jc w:val="center"/>
        <w:textAlignment w:val="auto"/>
        <w:outlineLvl w:val="1"/>
        <w:rPr>
          <w:rFonts w:hint="eastAsia" w:ascii="宋体" w:hAnsi="宋体" w:eastAsia="宋体" w:cs="宋体"/>
          <w:b/>
          <w:bCs/>
          <w:sz w:val="28"/>
          <w:szCs w:val="28"/>
        </w:rPr>
      </w:pPr>
      <w:bookmarkStart w:id="14" w:name="_Toc2464"/>
      <w:r>
        <w:rPr>
          <w:rFonts w:hint="eastAsia" w:ascii="宋体" w:hAnsi="宋体" w:eastAsia="宋体" w:cs="宋体"/>
          <w:b/>
          <w:bCs/>
          <w:sz w:val="28"/>
          <w:szCs w:val="28"/>
        </w:rPr>
        <w:t>机遇和挑战</w:t>
      </w:r>
      <w:bookmarkEnd w:id="14"/>
    </w:p>
    <w:p w14:paraId="4F09B8F0">
      <w:pPr>
        <w:keepNext w:val="0"/>
        <w:keepLines w:val="0"/>
        <w:pageBreakBefore w:val="0"/>
        <w:widowControl w:val="0"/>
        <w:tabs>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当前和今后一个时期，我县发展仍然处于重要战略机遇期，也是我县抢抓战略机遇、推动县域经济高质量发展的关键时期。从国家战略看，党中央立足“两个大局”，作出构建新发展格局、实施新时代西部大开发、建设长江经济带、打造成渝地区双城经济圈等重大战略部署，为我们加快发展提供了千载难逢的历史机遇。从全省格局看，省委提出“把遵义都市圈建成全省的核心增长极”“支持遵义做大做强，力争与贵阳齐头并进，唱好‘双城记’”，为我们跨越发展指明了方向。从全市规划看，市委提出把绥阳列入城镇发展格局“一核”和县域经济高质量发展“第二方阵”，要求强化主导产业培育，加快同城化进程，推进与主城区融合发展，全力打造和谐幸福美丽新绥阳，为我们推动高质量发展注入了动力。我县交通区位、资源禀赋、产业基础、干群齐心等方面优势凸显，为高质量发展奠定了坚实基础。同时，也要清醒地看到，我县经济总量依然偏小，产业链条不健全，人才支撑不足；我县欠发达、欠开发、欠开放的县情没有变，加速发展、加快转型的任务没有变，既要高质量发展、又要“高速度”发展的目标没有变，新型工业化、新型城镇化进程滞后的差距没有变，投资结构不优、创新能力较弱、民生事业欠账较多的短板没有变。全县上下要增强机遇意识、责任意识、风险意识，倍加珍惜高质量发展的好势头,倍加珍惜团结和谐的好局面,倍加珍惜干事创业的好状态,坚定信心，把握机遇，应对挑战，发扬斗争精神，树立底线思维，准确识变、科学应变、主动求变，努力在危机中育先机、于变局中开新局，乘势而上巩固提升良好发展态势。</w:t>
      </w:r>
    </w:p>
    <w:p w14:paraId="448B6069">
      <w:pPr>
        <w:keepNext w:val="0"/>
        <w:keepLines w:val="0"/>
        <w:pageBreakBefore w:val="0"/>
        <w:widowControl w:val="0"/>
        <w:tabs>
          <w:tab w:val="center" w:pos="4153"/>
          <w:tab w:val="right" w:pos="8306"/>
        </w:tabs>
        <w:kinsoku/>
        <w:wordWrap/>
        <w:overflowPunct/>
        <w:topLinePunct w:val="0"/>
        <w:autoSpaceDE/>
        <w:autoSpaceDN/>
        <w:bidi w:val="0"/>
        <w:adjustRightInd w:val="0"/>
        <w:snapToGrid/>
        <w:spacing w:line="520" w:lineRule="exact"/>
        <w:ind w:firstLine="600" w:firstLineChars="200"/>
        <w:jc w:val="both"/>
        <w:textAlignment w:val="auto"/>
        <w:rPr>
          <w:rFonts w:hint="eastAsia" w:ascii="宋体" w:hAnsi="宋体" w:eastAsia="宋体" w:cs="宋体"/>
          <w:sz w:val="30"/>
          <w:szCs w:val="30"/>
        </w:rPr>
      </w:pPr>
    </w:p>
    <w:p w14:paraId="01EE93B0">
      <w:pPr>
        <w:keepNext w:val="0"/>
        <w:keepLines w:val="0"/>
        <w:pageBreakBefore w:val="0"/>
        <w:widowControl w:val="0"/>
        <w:numPr>
          <w:ilvl w:val="0"/>
          <w:numId w:val="1"/>
        </w:numPr>
        <w:tabs>
          <w:tab w:val="center" w:pos="4153"/>
          <w:tab w:val="right" w:pos="8306"/>
        </w:tabs>
        <w:kinsoku/>
        <w:wordWrap/>
        <w:overflowPunct/>
        <w:topLinePunct w:val="0"/>
        <w:autoSpaceDE/>
        <w:autoSpaceDN/>
        <w:bidi w:val="0"/>
        <w:adjustRightInd w:val="0"/>
        <w:snapToGrid/>
        <w:spacing w:line="520" w:lineRule="exact"/>
        <w:jc w:val="center"/>
        <w:textAlignment w:val="auto"/>
        <w:outlineLvl w:val="1"/>
        <w:rPr>
          <w:rFonts w:hint="eastAsia" w:ascii="宋体" w:hAnsi="宋体" w:eastAsia="宋体" w:cs="宋体"/>
          <w:b/>
          <w:bCs/>
          <w:sz w:val="28"/>
          <w:szCs w:val="28"/>
        </w:rPr>
      </w:pPr>
      <w:bookmarkStart w:id="15" w:name="_Toc2582"/>
      <w:r>
        <w:rPr>
          <w:rFonts w:hint="eastAsia" w:ascii="宋体" w:hAnsi="宋体" w:eastAsia="宋体" w:cs="宋体"/>
          <w:b/>
          <w:bCs/>
          <w:sz w:val="28"/>
          <w:szCs w:val="28"/>
        </w:rPr>
        <w:t>总体要求</w:t>
      </w:r>
      <w:bookmarkEnd w:id="15"/>
    </w:p>
    <w:p w14:paraId="418D1D4B">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高举中国特色社会主义伟大旗帜，坚持以习近平新时代中国特色社会主义思想为指导，全面贯彻落实党的十九大和十九届二中、三中、四中、五中全会精神以及习近平总书记对贵州、遵义工作的重要指示批示精神，统筹推进“五位一体”总体布局，协调推进“四个全面”战略布局，立足新发展阶段，贯彻新发展理念，融入新发展格局，坚持稳中求进工作总基调，深入贯彻落实省委、市委全会精神，以高质量发展统揽全局，牢牢守好发展和生态两条底线，深入实施乡村振兴、大数据、大生态三大战略行动，大力推进新型工业化、新型城镇化、农业现代化、旅游产业化，持续巩固拓展脱贫攻坚成果，立足资源禀赋、发挥比较优势，推进“撤县设区”，全面融入遵义主城区，共建遵义都市圈、融入成渝地区双城经济圈，壮大县域经济，打造旅游康养集散地、交通物流集散地，构建新型产业发展体系、新型城镇化体系、新型社会治理体系，推动新型工业集聚区、旅游康养融合区、乡村振兴示范区、幸福宜居新城区建设，为全面建设社会主义现代化开好局、起好步，奋力建设和谐幸福美丽新绥阳。</w:t>
      </w:r>
    </w:p>
    <w:p w14:paraId="5C114752">
      <w:pPr>
        <w:keepNext w:val="0"/>
        <w:keepLines w:val="0"/>
        <w:pageBreakBefore w:val="0"/>
        <w:widowControl w:val="0"/>
        <w:kinsoku/>
        <w:wordWrap/>
        <w:overflowPunct/>
        <w:topLinePunct w:val="0"/>
        <w:autoSpaceDE/>
        <w:autoSpaceDN/>
        <w:bidi w:val="0"/>
        <w:snapToGrid/>
        <w:spacing w:line="520" w:lineRule="exact"/>
        <w:textAlignment w:val="auto"/>
        <w:rPr>
          <w:rFonts w:hint="eastAsia" w:ascii="宋体" w:hAnsi="宋体" w:eastAsia="宋体" w:cs="宋体"/>
          <w:sz w:val="30"/>
          <w:szCs w:val="30"/>
        </w:rPr>
      </w:pPr>
    </w:p>
    <w:p w14:paraId="283C789B">
      <w:pPr>
        <w:keepNext w:val="0"/>
        <w:keepLines w:val="0"/>
        <w:pageBreakBefore w:val="0"/>
        <w:widowControl w:val="0"/>
        <w:numPr>
          <w:ilvl w:val="0"/>
          <w:numId w:val="1"/>
        </w:numPr>
        <w:tabs>
          <w:tab w:val="center" w:pos="4153"/>
          <w:tab w:val="right" w:pos="8306"/>
        </w:tabs>
        <w:kinsoku/>
        <w:wordWrap/>
        <w:overflowPunct/>
        <w:topLinePunct w:val="0"/>
        <w:autoSpaceDE/>
        <w:autoSpaceDN/>
        <w:bidi w:val="0"/>
        <w:adjustRightInd w:val="0"/>
        <w:snapToGrid/>
        <w:spacing w:line="520" w:lineRule="exact"/>
        <w:jc w:val="center"/>
        <w:textAlignment w:val="auto"/>
        <w:outlineLvl w:val="1"/>
        <w:rPr>
          <w:rFonts w:hint="eastAsia" w:ascii="宋体" w:hAnsi="宋体" w:eastAsia="宋体" w:cs="宋体"/>
          <w:b/>
          <w:bCs/>
          <w:sz w:val="28"/>
          <w:szCs w:val="28"/>
        </w:rPr>
      </w:pPr>
      <w:bookmarkStart w:id="16" w:name="_Toc12085"/>
      <w:r>
        <w:rPr>
          <w:rFonts w:hint="eastAsia" w:ascii="宋体" w:hAnsi="宋体" w:eastAsia="宋体" w:cs="宋体"/>
          <w:b/>
          <w:bCs/>
          <w:sz w:val="28"/>
          <w:szCs w:val="28"/>
        </w:rPr>
        <w:t>基本原则</w:t>
      </w:r>
      <w:bookmarkEnd w:id="16"/>
    </w:p>
    <w:p w14:paraId="563E8B17">
      <w:pPr>
        <w:pStyle w:val="2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——坚持党的全面领导。坚持和加强党的全面领导，</w:t>
      </w:r>
      <w:r>
        <w:rPr>
          <w:rFonts w:hint="eastAsia" w:ascii="宋体" w:hAnsi="宋体" w:cs="宋体"/>
          <w:color w:val="auto"/>
          <w:sz w:val="28"/>
          <w:szCs w:val="28"/>
          <w:lang w:eastAsia="zh-CN"/>
        </w:rPr>
        <w:t>增强“四个意识”、坚定“四个自信”、做到“两个维护”</w:t>
      </w:r>
      <w:r>
        <w:rPr>
          <w:rFonts w:hint="eastAsia" w:ascii="宋体" w:hAnsi="宋体" w:eastAsia="宋体" w:cs="宋体"/>
          <w:color w:val="auto"/>
          <w:sz w:val="28"/>
          <w:szCs w:val="28"/>
        </w:rPr>
        <w:t xml:space="preserve">。在守正基础上创新，解放思想、实事求是，不断提高贯彻新发展理念、构建新发展格局能力水平，为实现高质量发展提供根本保证。  </w:t>
      </w:r>
    </w:p>
    <w:p w14:paraId="3E688B4E">
      <w:pPr>
        <w:pStyle w:val="2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——坚持以人民为中心。</w:t>
      </w:r>
      <w:r>
        <w:rPr>
          <w:rFonts w:hint="eastAsia" w:ascii="宋体" w:hAnsi="宋体" w:eastAsia="宋体" w:cs="宋体"/>
          <w:color w:val="auto"/>
          <w:sz w:val="28"/>
          <w:szCs w:val="28"/>
        </w:rPr>
        <w:t xml:space="preserve">坚决贯彻以人民为中心的发展思想，坚持发展为了人民、发展依靠人民、发展成果由人民共享，持之以恒深化人力资源开发，努力在推动高质量发展进程中办好各项民生事业、激发内生动力、补齐民生短板，让人民群众获得感、幸福感、安全感更加充实、更有保障、更可持续。  </w:t>
      </w:r>
    </w:p>
    <w:p w14:paraId="2E365A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——生态优先，绿色发展。</w:t>
      </w:r>
      <w:r>
        <w:rPr>
          <w:rFonts w:hint="eastAsia" w:ascii="宋体" w:hAnsi="宋体" w:eastAsia="宋体" w:cs="宋体"/>
          <w:sz w:val="28"/>
          <w:szCs w:val="28"/>
        </w:rPr>
        <w:t>保持加强生态文明建设的战略定力，不动摇、不松劲、不开口子，严守生态保护红线；贯彻新发展理念，统筹好经济发展和生态环境保护建设的关系，探索以生态优先、绿色发展为导向的高质量发展新路子；加大生态系统保护力度，坚持自然恢复为主的方针，因地制宜、分类施策；打好污染防治攻坚战，保持攻坚力度和势头，解决好人民群众反映强烈的环境问题。</w:t>
      </w:r>
    </w:p>
    <w:p w14:paraId="08962B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——改革引领，共享发展。</w:t>
      </w:r>
      <w:r>
        <w:rPr>
          <w:rFonts w:hint="eastAsia" w:ascii="宋体" w:hAnsi="宋体" w:eastAsia="宋体" w:cs="宋体"/>
          <w:sz w:val="28"/>
          <w:szCs w:val="28"/>
        </w:rPr>
        <w:t>充分发挥市场在经济发展中的基础作用，深化市场配置要素改革，发挥好政府在空间管制、基础设施支撑、生态环境保护、公共服务供给、协调发展机制构建等方面的作用，把增进人民福祉、促进人的全面发展作为根本出发点。</w:t>
      </w:r>
    </w:p>
    <w:p w14:paraId="18D17890">
      <w:pPr>
        <w:pStyle w:val="2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——坚持系统观念，</w:t>
      </w:r>
      <w:r>
        <w:rPr>
          <w:rFonts w:hint="eastAsia" w:ascii="宋体" w:hAnsi="宋体" w:eastAsia="宋体" w:cs="宋体"/>
          <w:color w:val="auto"/>
          <w:sz w:val="28"/>
          <w:szCs w:val="28"/>
        </w:rPr>
        <w:t>全局性谋划</w:t>
      </w:r>
      <w:r>
        <w:rPr>
          <w:rFonts w:hint="eastAsia" w:ascii="宋体" w:hAnsi="宋体" w:eastAsia="宋体" w:cs="宋体"/>
          <w:b/>
          <w:bCs/>
          <w:color w:val="auto"/>
          <w:sz w:val="28"/>
          <w:szCs w:val="28"/>
        </w:rPr>
        <w:t>。</w:t>
      </w:r>
      <w:r>
        <w:rPr>
          <w:rFonts w:hint="eastAsia" w:ascii="宋体" w:hAnsi="宋体" w:eastAsia="宋体" w:cs="宋体"/>
          <w:color w:val="auto"/>
          <w:sz w:val="28"/>
          <w:szCs w:val="28"/>
        </w:rPr>
        <w:t>坚持前瞻性思考、全局性谋划、战略性布局、整体性推进，推动新型工业化、信息化、城镇化、农业农村现代化同步发展，努力实现发展质量、结构、规模、速度、效益、安全相统一。</w:t>
      </w:r>
    </w:p>
    <w:p w14:paraId="2CE57ACB">
      <w:pPr>
        <w:pStyle w:val="27"/>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宋体" w:hAnsi="宋体" w:eastAsia="宋体" w:cs="宋体"/>
          <w:color w:val="auto"/>
          <w:sz w:val="30"/>
          <w:szCs w:val="30"/>
        </w:rPr>
      </w:pPr>
    </w:p>
    <w:p w14:paraId="00843589">
      <w:pPr>
        <w:keepNext w:val="0"/>
        <w:keepLines w:val="0"/>
        <w:pageBreakBefore w:val="0"/>
        <w:widowControl w:val="0"/>
        <w:numPr>
          <w:ilvl w:val="0"/>
          <w:numId w:val="1"/>
        </w:numPr>
        <w:tabs>
          <w:tab w:val="center" w:pos="4153"/>
          <w:tab w:val="right" w:pos="8306"/>
        </w:tabs>
        <w:kinsoku/>
        <w:wordWrap/>
        <w:overflowPunct/>
        <w:topLinePunct w:val="0"/>
        <w:autoSpaceDE/>
        <w:autoSpaceDN/>
        <w:bidi w:val="0"/>
        <w:adjustRightInd w:val="0"/>
        <w:snapToGrid/>
        <w:spacing w:line="520" w:lineRule="exact"/>
        <w:jc w:val="center"/>
        <w:textAlignment w:val="auto"/>
        <w:outlineLvl w:val="1"/>
        <w:rPr>
          <w:rFonts w:hint="eastAsia" w:ascii="宋体" w:hAnsi="宋体" w:eastAsia="宋体" w:cs="宋体"/>
          <w:b/>
          <w:bCs/>
          <w:sz w:val="28"/>
          <w:szCs w:val="28"/>
        </w:rPr>
      </w:pPr>
      <w:bookmarkStart w:id="17" w:name="_Toc26944"/>
      <w:r>
        <w:rPr>
          <w:rFonts w:hint="eastAsia" w:ascii="宋体" w:hAnsi="宋体" w:eastAsia="宋体" w:cs="宋体"/>
          <w:b/>
          <w:bCs/>
          <w:sz w:val="28"/>
          <w:szCs w:val="28"/>
        </w:rPr>
        <w:t>“十四五”时期发展的主要目标</w:t>
      </w:r>
      <w:bookmarkEnd w:id="17"/>
    </w:p>
    <w:p w14:paraId="3A538B6D">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“十四五”时期，我们必须遵循坚持党的全面领导、坚持以人民为中心、坚持新发展理念、坚持深化改革开放、坚持系统观念的原则，奋力实现以下目标。</w:t>
      </w:r>
    </w:p>
    <w:p w14:paraId="227CF79A">
      <w:pPr>
        <w:keepNext w:val="0"/>
        <w:keepLines w:val="0"/>
        <w:pageBreakBefore w:val="0"/>
        <w:widowControl w:val="0"/>
        <w:pBdr>
          <w:between w:val="single" w:color="auto" w:sz="4" w:space="0"/>
        </w:pBdr>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经济高质量快速发展实现新跨越。经济平稳健康发展，增长潜力充分发挥，经济发展质量和效益明显提升，全县地区生产总值确保实现170亿元、力争突破200亿元。省级经济开发区高质量发展，以绿色食品工业为支撑的新型工业化量质齐升，现代山地特色坝区高效农业加快发展，现代服务业不断壮大，传统产业和新兴产业加快突破，高质量发展产业体系加快构建。</w:t>
      </w:r>
    </w:p>
    <w:p w14:paraId="475CA1EA">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城乡融合发展形成新格局。紧紧围绕遵义都市圈建设，加快“撤县设区”，推进与主城区融合发展，县城区划建设扩能提质，新型城镇化进程加快，乡村振兴全面推进，“南拓北环、核心突破、东联西通”发展格局得到优化，城乡区域发展更加协调，建设和谐幸福美丽新绥阳。</w:t>
      </w:r>
    </w:p>
    <w:p w14:paraId="71070BD7">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改革开放创新取得新突破。全面深化改革在更广领域、更多环节取得决定性成果，开放质量和水平明显提升，科技成果转移转化应用取得更大进展，创新创造活力竞相迸发，高质量发展的新动能、新优势显著增强。</w:t>
      </w:r>
    </w:p>
    <w:p w14:paraId="0FC67680">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社会文明程度得到新提高。社会主义核心价值观深入人心，公共文化服务体系和文化产业体系更加健全，人民精神文化生活日益丰富，历史文化保护传承利用进一步加强，红色文化、生态文化不断传承发展，做响“全国文化先进县”“中国诗乡”品牌，新时代贵州精神不断弘扬。</w:t>
      </w:r>
    </w:p>
    <w:p w14:paraId="27F6C19B">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生态文明建设得到新进步。国土空间开发保护格局不断优化，重点生态工程深入实施，生态环境持续巩固，生态文明建设成果更加丰硕。绿色经济蓬勃发展，绿水青山加速向金山银山转变。城乡人居环境更加优美，生态屏障更加巩固。</w:t>
      </w:r>
    </w:p>
    <w:p w14:paraId="606DABAA">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民生福祉达到新水平。脱贫攻坚成果巩固拓展，就业更加充分更高质量，居民收入增长和经济增长基本同步，教育、医疗、养老等基本公共服务供给更加优质均衡，卫生健康体系更加完善，多层次保障体系更加健全。</w:t>
      </w:r>
    </w:p>
    <w:p w14:paraId="2200F146">
      <w:pPr>
        <w:keepNext w:val="0"/>
        <w:keepLines w:val="0"/>
        <w:pageBreakBefore w:val="0"/>
        <w:widowControl w:val="0"/>
        <w:tabs>
          <w:tab w:val="left" w:pos="1914"/>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治理效能得到新提升。县域社会治理现代化扎实推进，民主法治更加健全，公平正义更加彰显，行政效率和公信力显著提升，精细化治理能力显著增强，各类风险总体可控，防范化解重大风险体制机制不断健全，自然灾害防御水平、应急处置能力和水平明显提升，发展安全保障更加有力，人民群众安全感、满意度保持较高水平。</w:t>
      </w:r>
    </w:p>
    <w:p w14:paraId="10F42535">
      <w:pPr>
        <w:rPr>
          <w:rFonts w:hint="eastAsia" w:ascii="宋体" w:hAnsi="宋体" w:eastAsia="宋体" w:cs="宋体"/>
        </w:rPr>
      </w:pPr>
    </w:p>
    <w:p w14:paraId="25836C6B">
      <w:pPr>
        <w:pStyle w:val="2"/>
        <w:rPr>
          <w:rFonts w:hint="eastAsia" w:ascii="宋体" w:hAnsi="宋体" w:eastAsia="宋体" w:cs="宋体"/>
        </w:rPr>
      </w:pPr>
    </w:p>
    <w:p w14:paraId="337A93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14:paraId="08D851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专栏2  绥阳县“十四五”时期经济社会发展</w:t>
      </w:r>
    </w:p>
    <w:p w14:paraId="0C14DE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主要指标</w:t>
      </w:r>
    </w:p>
    <w:tbl>
      <w:tblPr>
        <w:tblStyle w:val="15"/>
        <w:tblW w:w="6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49"/>
        <w:gridCol w:w="1201"/>
        <w:gridCol w:w="831"/>
        <w:gridCol w:w="773"/>
        <w:gridCol w:w="738"/>
        <w:gridCol w:w="693"/>
        <w:gridCol w:w="692"/>
        <w:gridCol w:w="826"/>
      </w:tblGrid>
      <w:tr w14:paraId="36AD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494" w:type="dxa"/>
            <w:vMerge w:val="restart"/>
            <w:shd w:val="clear" w:color="auto" w:fill="auto"/>
            <w:noWrap/>
            <w:vAlign w:val="center"/>
          </w:tcPr>
          <w:p w14:paraId="2C09C1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950" w:type="dxa"/>
            <w:gridSpan w:val="2"/>
            <w:vMerge w:val="restart"/>
            <w:shd w:val="clear" w:color="auto" w:fill="auto"/>
            <w:noWrap/>
            <w:vAlign w:val="center"/>
          </w:tcPr>
          <w:p w14:paraId="42C519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 xml:space="preserve">指标 </w:t>
            </w:r>
          </w:p>
        </w:tc>
        <w:tc>
          <w:tcPr>
            <w:tcW w:w="831" w:type="dxa"/>
            <w:vMerge w:val="restart"/>
            <w:shd w:val="clear" w:color="auto" w:fill="auto"/>
            <w:vAlign w:val="center"/>
          </w:tcPr>
          <w:p w14:paraId="71FE59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2020年预算计划完成数</w:t>
            </w:r>
          </w:p>
        </w:tc>
        <w:tc>
          <w:tcPr>
            <w:tcW w:w="2896" w:type="dxa"/>
            <w:gridSpan w:val="4"/>
            <w:shd w:val="clear" w:color="auto" w:fill="auto"/>
            <w:noWrap/>
            <w:vAlign w:val="center"/>
          </w:tcPr>
          <w:p w14:paraId="355989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2025年规划目标</w:t>
            </w:r>
          </w:p>
        </w:tc>
        <w:tc>
          <w:tcPr>
            <w:tcW w:w="826" w:type="dxa"/>
            <w:vMerge w:val="restart"/>
            <w:shd w:val="clear" w:color="auto" w:fill="auto"/>
            <w:vAlign w:val="center"/>
          </w:tcPr>
          <w:p w14:paraId="439B4A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指标</w:t>
            </w:r>
          </w:p>
          <w:p w14:paraId="736632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属性</w:t>
            </w:r>
          </w:p>
        </w:tc>
      </w:tr>
      <w:tr w14:paraId="7FB2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jc w:val="center"/>
        </w:trPr>
        <w:tc>
          <w:tcPr>
            <w:tcW w:w="494" w:type="dxa"/>
            <w:vMerge w:val="continue"/>
            <w:vAlign w:val="center"/>
          </w:tcPr>
          <w:p w14:paraId="54E69E77">
            <w:pPr>
              <w:widowControl/>
              <w:jc w:val="left"/>
              <w:rPr>
                <w:rFonts w:hint="eastAsia" w:ascii="宋体" w:hAnsi="宋体" w:eastAsia="宋体" w:cs="宋体"/>
                <w:kern w:val="0"/>
                <w:sz w:val="20"/>
                <w:szCs w:val="20"/>
              </w:rPr>
            </w:pPr>
          </w:p>
        </w:tc>
        <w:tc>
          <w:tcPr>
            <w:tcW w:w="1950" w:type="dxa"/>
            <w:gridSpan w:val="2"/>
            <w:vMerge w:val="continue"/>
            <w:vAlign w:val="center"/>
          </w:tcPr>
          <w:p w14:paraId="184C9F8C">
            <w:pPr>
              <w:widowControl/>
              <w:jc w:val="left"/>
              <w:rPr>
                <w:rFonts w:hint="eastAsia" w:ascii="宋体" w:hAnsi="宋体" w:eastAsia="宋体" w:cs="宋体"/>
                <w:kern w:val="0"/>
                <w:sz w:val="20"/>
                <w:szCs w:val="20"/>
              </w:rPr>
            </w:pPr>
          </w:p>
        </w:tc>
        <w:tc>
          <w:tcPr>
            <w:tcW w:w="831" w:type="dxa"/>
            <w:vMerge w:val="continue"/>
            <w:vAlign w:val="center"/>
          </w:tcPr>
          <w:p w14:paraId="69BCA38A">
            <w:pPr>
              <w:widowControl/>
              <w:jc w:val="left"/>
              <w:rPr>
                <w:rFonts w:hint="eastAsia" w:ascii="宋体" w:hAnsi="宋体" w:eastAsia="宋体" w:cs="宋体"/>
                <w:kern w:val="0"/>
                <w:sz w:val="20"/>
                <w:szCs w:val="20"/>
              </w:rPr>
            </w:pPr>
          </w:p>
        </w:tc>
        <w:tc>
          <w:tcPr>
            <w:tcW w:w="773" w:type="dxa"/>
            <w:shd w:val="clear" w:color="auto" w:fill="auto"/>
            <w:noWrap/>
            <w:vAlign w:val="center"/>
          </w:tcPr>
          <w:p w14:paraId="5F5AB0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绝对值</w:t>
            </w:r>
          </w:p>
        </w:tc>
        <w:tc>
          <w:tcPr>
            <w:tcW w:w="738" w:type="dxa"/>
            <w:shd w:val="clear" w:color="auto" w:fill="auto"/>
            <w:noWrap/>
            <w:vAlign w:val="center"/>
          </w:tcPr>
          <w:p w14:paraId="105959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力争值</w:t>
            </w:r>
          </w:p>
        </w:tc>
        <w:tc>
          <w:tcPr>
            <w:tcW w:w="693" w:type="dxa"/>
            <w:shd w:val="clear" w:color="auto" w:fill="auto"/>
            <w:vAlign w:val="center"/>
          </w:tcPr>
          <w:p w14:paraId="2E0189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年均增长（%）</w:t>
            </w:r>
          </w:p>
        </w:tc>
        <w:tc>
          <w:tcPr>
            <w:tcW w:w="692" w:type="dxa"/>
            <w:shd w:val="clear" w:color="auto" w:fill="auto"/>
            <w:vAlign w:val="center"/>
          </w:tcPr>
          <w:p w14:paraId="2B0A13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力争年均增长（%）</w:t>
            </w:r>
          </w:p>
        </w:tc>
        <w:tc>
          <w:tcPr>
            <w:tcW w:w="826" w:type="dxa"/>
            <w:vMerge w:val="continue"/>
            <w:vAlign w:val="center"/>
          </w:tcPr>
          <w:p w14:paraId="3596B6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0"/>
                <w:szCs w:val="20"/>
              </w:rPr>
            </w:pPr>
          </w:p>
        </w:tc>
      </w:tr>
      <w:tr w14:paraId="1A22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2444" w:type="dxa"/>
            <w:gridSpan w:val="3"/>
            <w:shd w:val="clear" w:color="auto" w:fill="auto"/>
            <w:noWrap/>
            <w:vAlign w:val="center"/>
          </w:tcPr>
          <w:p w14:paraId="5CBBC132">
            <w:pPr>
              <w:widowControl/>
              <w:ind w:firstLine="402" w:firstLineChars="20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一、经济发展</w:t>
            </w:r>
          </w:p>
        </w:tc>
        <w:tc>
          <w:tcPr>
            <w:tcW w:w="831" w:type="dxa"/>
            <w:shd w:val="clear" w:color="auto" w:fill="auto"/>
            <w:vAlign w:val="center"/>
          </w:tcPr>
          <w:p w14:paraId="5C6624D8">
            <w:pPr>
              <w:widowControl/>
              <w:jc w:val="center"/>
              <w:rPr>
                <w:rFonts w:hint="eastAsia" w:ascii="宋体" w:hAnsi="宋体" w:eastAsia="宋体" w:cs="宋体"/>
                <w:kern w:val="0"/>
                <w:sz w:val="20"/>
                <w:szCs w:val="20"/>
              </w:rPr>
            </w:pPr>
          </w:p>
        </w:tc>
        <w:tc>
          <w:tcPr>
            <w:tcW w:w="773" w:type="dxa"/>
            <w:shd w:val="clear" w:color="auto" w:fill="auto"/>
            <w:noWrap/>
            <w:vAlign w:val="center"/>
          </w:tcPr>
          <w:p w14:paraId="053BD0CF">
            <w:pPr>
              <w:widowControl/>
              <w:jc w:val="center"/>
              <w:rPr>
                <w:rFonts w:hint="eastAsia" w:ascii="宋体" w:hAnsi="宋体" w:eastAsia="宋体" w:cs="宋体"/>
                <w:kern w:val="0"/>
                <w:sz w:val="20"/>
                <w:szCs w:val="20"/>
              </w:rPr>
            </w:pPr>
          </w:p>
        </w:tc>
        <w:tc>
          <w:tcPr>
            <w:tcW w:w="738" w:type="dxa"/>
            <w:shd w:val="clear" w:color="auto" w:fill="auto"/>
            <w:noWrap/>
            <w:vAlign w:val="center"/>
          </w:tcPr>
          <w:p w14:paraId="26BEFBD6">
            <w:pPr>
              <w:widowControl/>
              <w:jc w:val="center"/>
              <w:rPr>
                <w:rFonts w:hint="eastAsia" w:ascii="宋体" w:hAnsi="宋体" w:eastAsia="宋体" w:cs="宋体"/>
                <w:kern w:val="0"/>
                <w:sz w:val="20"/>
                <w:szCs w:val="20"/>
              </w:rPr>
            </w:pPr>
          </w:p>
        </w:tc>
        <w:tc>
          <w:tcPr>
            <w:tcW w:w="693" w:type="dxa"/>
            <w:shd w:val="clear" w:color="auto" w:fill="auto"/>
            <w:vAlign w:val="center"/>
          </w:tcPr>
          <w:p w14:paraId="04A78714">
            <w:pPr>
              <w:widowControl/>
              <w:jc w:val="center"/>
              <w:rPr>
                <w:rFonts w:hint="eastAsia" w:ascii="宋体" w:hAnsi="宋体" w:eastAsia="宋体" w:cs="宋体"/>
                <w:kern w:val="0"/>
                <w:sz w:val="20"/>
                <w:szCs w:val="20"/>
              </w:rPr>
            </w:pPr>
          </w:p>
        </w:tc>
        <w:tc>
          <w:tcPr>
            <w:tcW w:w="692" w:type="dxa"/>
            <w:shd w:val="clear" w:color="auto" w:fill="auto"/>
            <w:vAlign w:val="center"/>
          </w:tcPr>
          <w:p w14:paraId="2410586C">
            <w:pPr>
              <w:widowControl/>
              <w:jc w:val="center"/>
              <w:rPr>
                <w:rFonts w:hint="eastAsia" w:ascii="宋体" w:hAnsi="宋体" w:eastAsia="宋体" w:cs="宋体"/>
                <w:kern w:val="0"/>
                <w:sz w:val="20"/>
                <w:szCs w:val="20"/>
              </w:rPr>
            </w:pPr>
          </w:p>
        </w:tc>
        <w:tc>
          <w:tcPr>
            <w:tcW w:w="826" w:type="dxa"/>
            <w:shd w:val="clear" w:color="auto" w:fill="auto"/>
            <w:vAlign w:val="center"/>
          </w:tcPr>
          <w:p w14:paraId="5AB4E1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5020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494" w:type="dxa"/>
            <w:vMerge w:val="restart"/>
            <w:shd w:val="clear" w:color="auto" w:fill="auto"/>
            <w:noWrap/>
            <w:vAlign w:val="center"/>
          </w:tcPr>
          <w:p w14:paraId="4C7DCC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50" w:type="dxa"/>
            <w:gridSpan w:val="2"/>
            <w:shd w:val="clear" w:color="auto" w:fill="auto"/>
            <w:vAlign w:val="center"/>
          </w:tcPr>
          <w:p w14:paraId="45C319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地区生产总值</w:t>
            </w:r>
          </w:p>
          <w:p w14:paraId="2ECF59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（亿元）</w:t>
            </w:r>
          </w:p>
        </w:tc>
        <w:tc>
          <w:tcPr>
            <w:tcW w:w="831" w:type="dxa"/>
            <w:shd w:val="clear" w:color="auto" w:fill="auto"/>
            <w:vAlign w:val="center"/>
          </w:tcPr>
          <w:p w14:paraId="6ACA82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105.9</w:t>
            </w:r>
          </w:p>
        </w:tc>
        <w:tc>
          <w:tcPr>
            <w:tcW w:w="773" w:type="dxa"/>
            <w:shd w:val="clear" w:color="auto" w:fill="auto"/>
            <w:noWrap/>
            <w:vAlign w:val="center"/>
          </w:tcPr>
          <w:p w14:paraId="76B828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170</w:t>
            </w:r>
          </w:p>
        </w:tc>
        <w:tc>
          <w:tcPr>
            <w:tcW w:w="738" w:type="dxa"/>
            <w:shd w:val="clear" w:color="auto" w:fill="auto"/>
            <w:noWrap/>
            <w:vAlign w:val="center"/>
          </w:tcPr>
          <w:p w14:paraId="57C3FE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w:t>
            </w:r>
          </w:p>
        </w:tc>
        <w:tc>
          <w:tcPr>
            <w:tcW w:w="693" w:type="dxa"/>
            <w:shd w:val="clear" w:color="auto" w:fill="auto"/>
            <w:vAlign w:val="center"/>
          </w:tcPr>
          <w:p w14:paraId="402A4C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692" w:type="dxa"/>
            <w:shd w:val="clear" w:color="auto" w:fill="auto"/>
            <w:vAlign w:val="center"/>
          </w:tcPr>
          <w:p w14:paraId="538BE3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13.7</w:t>
            </w:r>
          </w:p>
        </w:tc>
        <w:tc>
          <w:tcPr>
            <w:tcW w:w="826" w:type="dxa"/>
            <w:shd w:val="clear" w:color="auto" w:fill="auto"/>
            <w:vAlign w:val="center"/>
          </w:tcPr>
          <w:p w14:paraId="1024AE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6773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 w:type="dxa"/>
            <w:vMerge w:val="continue"/>
            <w:vAlign w:val="center"/>
          </w:tcPr>
          <w:p w14:paraId="35ADD371">
            <w:pPr>
              <w:widowControl/>
              <w:jc w:val="center"/>
              <w:rPr>
                <w:rFonts w:hint="eastAsia" w:ascii="宋体" w:hAnsi="宋体" w:eastAsia="宋体" w:cs="宋体"/>
                <w:kern w:val="0"/>
                <w:sz w:val="20"/>
                <w:szCs w:val="20"/>
              </w:rPr>
            </w:pPr>
          </w:p>
        </w:tc>
        <w:tc>
          <w:tcPr>
            <w:tcW w:w="1950" w:type="dxa"/>
            <w:gridSpan w:val="2"/>
            <w:shd w:val="clear" w:color="auto" w:fill="auto"/>
            <w:vAlign w:val="center"/>
          </w:tcPr>
          <w:p w14:paraId="65C35D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第一产业（亿元）</w:t>
            </w:r>
          </w:p>
        </w:tc>
        <w:tc>
          <w:tcPr>
            <w:tcW w:w="831" w:type="dxa"/>
            <w:shd w:val="clear" w:color="auto" w:fill="auto"/>
            <w:vAlign w:val="center"/>
          </w:tcPr>
          <w:p w14:paraId="35ACE7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39.7</w:t>
            </w:r>
          </w:p>
        </w:tc>
        <w:tc>
          <w:tcPr>
            <w:tcW w:w="773" w:type="dxa"/>
            <w:shd w:val="clear" w:color="auto" w:fill="auto"/>
            <w:noWrap/>
            <w:vAlign w:val="center"/>
          </w:tcPr>
          <w:p w14:paraId="324554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55.6</w:t>
            </w:r>
          </w:p>
        </w:tc>
        <w:tc>
          <w:tcPr>
            <w:tcW w:w="738" w:type="dxa"/>
            <w:shd w:val="clear" w:color="auto" w:fill="auto"/>
            <w:noWrap/>
            <w:vAlign w:val="center"/>
          </w:tcPr>
          <w:p w14:paraId="2191AC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54.5</w:t>
            </w:r>
          </w:p>
        </w:tc>
        <w:tc>
          <w:tcPr>
            <w:tcW w:w="693" w:type="dxa"/>
            <w:shd w:val="clear" w:color="auto" w:fill="auto"/>
            <w:vAlign w:val="center"/>
          </w:tcPr>
          <w:p w14:paraId="5DB561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6.6</w:t>
            </w:r>
          </w:p>
        </w:tc>
        <w:tc>
          <w:tcPr>
            <w:tcW w:w="692" w:type="dxa"/>
            <w:shd w:val="clear" w:color="auto" w:fill="auto"/>
            <w:vAlign w:val="center"/>
          </w:tcPr>
          <w:p w14:paraId="449BF9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6.5</w:t>
            </w:r>
          </w:p>
        </w:tc>
        <w:tc>
          <w:tcPr>
            <w:tcW w:w="826" w:type="dxa"/>
            <w:shd w:val="clear" w:color="auto" w:fill="auto"/>
            <w:vAlign w:val="center"/>
          </w:tcPr>
          <w:p w14:paraId="109C33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35F7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 w:type="dxa"/>
            <w:vMerge w:val="continue"/>
            <w:vAlign w:val="center"/>
          </w:tcPr>
          <w:p w14:paraId="7313EC41">
            <w:pPr>
              <w:widowControl/>
              <w:jc w:val="center"/>
              <w:rPr>
                <w:rFonts w:hint="eastAsia" w:ascii="宋体" w:hAnsi="宋体" w:eastAsia="宋体" w:cs="宋体"/>
                <w:kern w:val="0"/>
                <w:sz w:val="20"/>
                <w:szCs w:val="20"/>
              </w:rPr>
            </w:pPr>
          </w:p>
        </w:tc>
        <w:tc>
          <w:tcPr>
            <w:tcW w:w="1950" w:type="dxa"/>
            <w:gridSpan w:val="2"/>
            <w:shd w:val="clear" w:color="auto" w:fill="auto"/>
            <w:vAlign w:val="center"/>
          </w:tcPr>
          <w:p w14:paraId="288DAC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第二产业（亿元）</w:t>
            </w:r>
          </w:p>
        </w:tc>
        <w:tc>
          <w:tcPr>
            <w:tcW w:w="831" w:type="dxa"/>
            <w:shd w:val="clear" w:color="auto" w:fill="auto"/>
            <w:vAlign w:val="center"/>
          </w:tcPr>
          <w:p w14:paraId="4A9A3A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15.3</w:t>
            </w:r>
          </w:p>
        </w:tc>
        <w:tc>
          <w:tcPr>
            <w:tcW w:w="773" w:type="dxa"/>
            <w:shd w:val="clear" w:color="auto" w:fill="auto"/>
            <w:noWrap/>
            <w:vAlign w:val="center"/>
          </w:tcPr>
          <w:p w14:paraId="713A38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32.1</w:t>
            </w:r>
          </w:p>
        </w:tc>
        <w:tc>
          <w:tcPr>
            <w:tcW w:w="738" w:type="dxa"/>
            <w:shd w:val="clear" w:color="auto" w:fill="auto"/>
            <w:noWrap/>
            <w:vAlign w:val="center"/>
          </w:tcPr>
          <w:p w14:paraId="0B169C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w:t>
            </w:r>
          </w:p>
        </w:tc>
        <w:tc>
          <w:tcPr>
            <w:tcW w:w="693" w:type="dxa"/>
            <w:shd w:val="clear" w:color="auto" w:fill="auto"/>
            <w:vAlign w:val="center"/>
          </w:tcPr>
          <w:p w14:paraId="0C0AE0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15.2</w:t>
            </w:r>
          </w:p>
        </w:tc>
        <w:tc>
          <w:tcPr>
            <w:tcW w:w="692" w:type="dxa"/>
            <w:shd w:val="clear" w:color="auto" w:fill="auto"/>
            <w:vAlign w:val="center"/>
          </w:tcPr>
          <w:p w14:paraId="46886D4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826" w:type="dxa"/>
            <w:shd w:val="clear" w:color="auto" w:fill="auto"/>
            <w:vAlign w:val="center"/>
          </w:tcPr>
          <w:p w14:paraId="1B19A3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42F5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jc w:val="center"/>
        </w:trPr>
        <w:tc>
          <w:tcPr>
            <w:tcW w:w="494" w:type="dxa"/>
            <w:vMerge w:val="continue"/>
            <w:vAlign w:val="center"/>
          </w:tcPr>
          <w:p w14:paraId="61DE54A3">
            <w:pPr>
              <w:widowControl/>
              <w:jc w:val="center"/>
              <w:rPr>
                <w:rFonts w:hint="eastAsia" w:ascii="宋体" w:hAnsi="宋体" w:eastAsia="宋体" w:cs="宋体"/>
                <w:kern w:val="0"/>
                <w:sz w:val="20"/>
                <w:szCs w:val="20"/>
              </w:rPr>
            </w:pPr>
          </w:p>
        </w:tc>
        <w:tc>
          <w:tcPr>
            <w:tcW w:w="1950" w:type="dxa"/>
            <w:gridSpan w:val="2"/>
            <w:shd w:val="clear" w:color="auto" w:fill="auto"/>
            <w:vAlign w:val="center"/>
          </w:tcPr>
          <w:p w14:paraId="38C925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规模以上工业增加值（2000万元）</w:t>
            </w:r>
          </w:p>
        </w:tc>
        <w:tc>
          <w:tcPr>
            <w:tcW w:w="831" w:type="dxa"/>
            <w:shd w:val="clear" w:color="auto" w:fill="auto"/>
            <w:vAlign w:val="center"/>
          </w:tcPr>
          <w:p w14:paraId="12317D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7.8</w:t>
            </w:r>
          </w:p>
        </w:tc>
        <w:tc>
          <w:tcPr>
            <w:tcW w:w="773" w:type="dxa"/>
            <w:shd w:val="clear" w:color="auto" w:fill="auto"/>
            <w:vAlign w:val="center"/>
          </w:tcPr>
          <w:p w14:paraId="5411136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15.4</w:t>
            </w:r>
          </w:p>
        </w:tc>
        <w:tc>
          <w:tcPr>
            <w:tcW w:w="738" w:type="dxa"/>
            <w:shd w:val="clear" w:color="auto" w:fill="auto"/>
            <w:vAlign w:val="center"/>
          </w:tcPr>
          <w:p w14:paraId="5F8791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17.6</w:t>
            </w:r>
          </w:p>
        </w:tc>
        <w:tc>
          <w:tcPr>
            <w:tcW w:w="693" w:type="dxa"/>
            <w:shd w:val="clear" w:color="auto" w:fill="auto"/>
            <w:vAlign w:val="center"/>
          </w:tcPr>
          <w:p w14:paraId="4FC5A0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692" w:type="dxa"/>
            <w:shd w:val="clear" w:color="auto" w:fill="auto"/>
            <w:vAlign w:val="center"/>
          </w:tcPr>
          <w:p w14:paraId="6D5992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826" w:type="dxa"/>
            <w:shd w:val="clear" w:color="auto" w:fill="auto"/>
            <w:vAlign w:val="center"/>
          </w:tcPr>
          <w:p w14:paraId="21482B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36A3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 w:type="dxa"/>
            <w:vMerge w:val="continue"/>
            <w:vAlign w:val="center"/>
          </w:tcPr>
          <w:p w14:paraId="160BB3B9">
            <w:pPr>
              <w:widowControl/>
              <w:jc w:val="center"/>
              <w:rPr>
                <w:rFonts w:hint="eastAsia" w:ascii="宋体" w:hAnsi="宋体" w:eastAsia="宋体" w:cs="宋体"/>
                <w:kern w:val="0"/>
                <w:sz w:val="20"/>
                <w:szCs w:val="20"/>
              </w:rPr>
            </w:pPr>
          </w:p>
        </w:tc>
        <w:tc>
          <w:tcPr>
            <w:tcW w:w="1950" w:type="dxa"/>
            <w:gridSpan w:val="2"/>
            <w:shd w:val="clear" w:color="auto" w:fill="auto"/>
            <w:vAlign w:val="center"/>
          </w:tcPr>
          <w:p w14:paraId="4196DC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第三产业</w:t>
            </w:r>
          </w:p>
        </w:tc>
        <w:tc>
          <w:tcPr>
            <w:tcW w:w="831" w:type="dxa"/>
            <w:shd w:val="clear" w:color="auto" w:fill="auto"/>
            <w:vAlign w:val="center"/>
          </w:tcPr>
          <w:p w14:paraId="0A3D0E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50.9</w:t>
            </w:r>
          </w:p>
        </w:tc>
        <w:tc>
          <w:tcPr>
            <w:tcW w:w="773" w:type="dxa"/>
            <w:shd w:val="clear" w:color="auto" w:fill="auto"/>
            <w:noWrap/>
            <w:vAlign w:val="center"/>
          </w:tcPr>
          <w:p w14:paraId="4F1EBF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82.3</w:t>
            </w:r>
          </w:p>
        </w:tc>
        <w:tc>
          <w:tcPr>
            <w:tcW w:w="738" w:type="dxa"/>
            <w:shd w:val="clear" w:color="auto" w:fill="auto"/>
            <w:noWrap/>
            <w:vAlign w:val="center"/>
          </w:tcPr>
          <w:p w14:paraId="159F1F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110.5</w:t>
            </w:r>
          </w:p>
        </w:tc>
        <w:tc>
          <w:tcPr>
            <w:tcW w:w="693" w:type="dxa"/>
            <w:shd w:val="clear" w:color="auto" w:fill="auto"/>
            <w:vAlign w:val="center"/>
          </w:tcPr>
          <w:p w14:paraId="127821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10.2</w:t>
            </w:r>
          </w:p>
        </w:tc>
        <w:tc>
          <w:tcPr>
            <w:tcW w:w="692" w:type="dxa"/>
            <w:shd w:val="clear" w:color="auto" w:fill="auto"/>
            <w:vAlign w:val="center"/>
          </w:tcPr>
          <w:p w14:paraId="4C0129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17.2</w:t>
            </w:r>
          </w:p>
        </w:tc>
        <w:tc>
          <w:tcPr>
            <w:tcW w:w="826" w:type="dxa"/>
            <w:shd w:val="clear" w:color="auto" w:fill="auto"/>
            <w:vAlign w:val="center"/>
          </w:tcPr>
          <w:p w14:paraId="79C8A1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5353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494" w:type="dxa"/>
            <w:shd w:val="clear" w:color="auto" w:fill="auto"/>
            <w:noWrap/>
            <w:vAlign w:val="center"/>
          </w:tcPr>
          <w:p w14:paraId="5B3075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950" w:type="dxa"/>
            <w:gridSpan w:val="2"/>
            <w:shd w:val="clear" w:color="auto" w:fill="auto"/>
            <w:vAlign w:val="center"/>
          </w:tcPr>
          <w:p w14:paraId="4A9200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人均生产总值</w:t>
            </w:r>
          </w:p>
        </w:tc>
        <w:tc>
          <w:tcPr>
            <w:tcW w:w="831" w:type="dxa"/>
            <w:shd w:val="clear" w:color="auto" w:fill="auto"/>
            <w:vAlign w:val="center"/>
          </w:tcPr>
          <w:p w14:paraId="4981C8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27453</w:t>
            </w:r>
          </w:p>
        </w:tc>
        <w:tc>
          <w:tcPr>
            <w:tcW w:w="773" w:type="dxa"/>
            <w:shd w:val="clear" w:color="auto" w:fill="auto"/>
            <w:noWrap/>
            <w:vAlign w:val="center"/>
          </w:tcPr>
          <w:p w14:paraId="5662E5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41060</w:t>
            </w:r>
          </w:p>
        </w:tc>
        <w:tc>
          <w:tcPr>
            <w:tcW w:w="738" w:type="dxa"/>
            <w:shd w:val="clear" w:color="auto" w:fill="auto"/>
            <w:noWrap/>
            <w:vAlign w:val="center"/>
          </w:tcPr>
          <w:p w14:paraId="2C4E23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50000</w:t>
            </w:r>
          </w:p>
        </w:tc>
        <w:tc>
          <w:tcPr>
            <w:tcW w:w="693" w:type="dxa"/>
            <w:shd w:val="clear" w:color="auto" w:fill="auto"/>
            <w:vAlign w:val="center"/>
          </w:tcPr>
          <w:p w14:paraId="0CF977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8.5　</w:t>
            </w:r>
          </w:p>
        </w:tc>
        <w:tc>
          <w:tcPr>
            <w:tcW w:w="692" w:type="dxa"/>
            <w:shd w:val="clear" w:color="auto" w:fill="auto"/>
            <w:vAlign w:val="center"/>
          </w:tcPr>
          <w:p w14:paraId="223D75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12.8　</w:t>
            </w:r>
          </w:p>
        </w:tc>
        <w:tc>
          <w:tcPr>
            <w:tcW w:w="826" w:type="dxa"/>
            <w:shd w:val="clear" w:color="auto" w:fill="auto"/>
            <w:vAlign w:val="center"/>
          </w:tcPr>
          <w:p w14:paraId="7B7707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2F84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494" w:type="dxa"/>
            <w:shd w:val="clear" w:color="auto" w:fill="auto"/>
            <w:noWrap/>
            <w:vAlign w:val="center"/>
          </w:tcPr>
          <w:p w14:paraId="2898D0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950" w:type="dxa"/>
            <w:gridSpan w:val="2"/>
            <w:shd w:val="clear" w:color="auto" w:fill="auto"/>
            <w:vAlign w:val="center"/>
          </w:tcPr>
          <w:p w14:paraId="717F85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500万元以上固定资产投资（亿元）</w:t>
            </w:r>
          </w:p>
        </w:tc>
        <w:tc>
          <w:tcPr>
            <w:tcW w:w="831" w:type="dxa"/>
            <w:shd w:val="clear" w:color="auto" w:fill="auto"/>
            <w:vAlign w:val="center"/>
          </w:tcPr>
          <w:p w14:paraId="79D7A1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95.7</w:t>
            </w:r>
          </w:p>
        </w:tc>
        <w:tc>
          <w:tcPr>
            <w:tcW w:w="773" w:type="dxa"/>
            <w:shd w:val="clear" w:color="auto" w:fill="auto"/>
            <w:vAlign w:val="center"/>
          </w:tcPr>
          <w:p w14:paraId="745086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154.2</w:t>
            </w:r>
          </w:p>
        </w:tc>
        <w:tc>
          <w:tcPr>
            <w:tcW w:w="738" w:type="dxa"/>
            <w:shd w:val="clear" w:color="auto" w:fill="auto"/>
            <w:vAlign w:val="center"/>
          </w:tcPr>
          <w:p w14:paraId="409E71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165.7</w:t>
            </w:r>
          </w:p>
        </w:tc>
        <w:tc>
          <w:tcPr>
            <w:tcW w:w="693" w:type="dxa"/>
            <w:shd w:val="clear" w:color="auto" w:fill="auto"/>
            <w:vAlign w:val="center"/>
          </w:tcPr>
          <w:p w14:paraId="79AB7E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692" w:type="dxa"/>
            <w:shd w:val="clear" w:color="auto" w:fill="auto"/>
            <w:vAlign w:val="center"/>
          </w:tcPr>
          <w:p w14:paraId="612DD7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826" w:type="dxa"/>
            <w:shd w:val="clear" w:color="auto" w:fill="auto"/>
            <w:vAlign w:val="center"/>
          </w:tcPr>
          <w:p w14:paraId="70BC47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05AB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4" w:type="dxa"/>
            <w:vMerge w:val="restart"/>
            <w:shd w:val="clear" w:color="auto" w:fill="auto"/>
            <w:noWrap/>
            <w:vAlign w:val="center"/>
          </w:tcPr>
          <w:p w14:paraId="031DA2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950" w:type="dxa"/>
            <w:gridSpan w:val="2"/>
            <w:vMerge w:val="restart"/>
            <w:shd w:val="clear" w:color="auto" w:fill="auto"/>
            <w:vAlign w:val="center"/>
          </w:tcPr>
          <w:p w14:paraId="2FF1C5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 xml:space="preserve">指标 </w:t>
            </w:r>
          </w:p>
        </w:tc>
        <w:tc>
          <w:tcPr>
            <w:tcW w:w="831" w:type="dxa"/>
            <w:vMerge w:val="restart"/>
            <w:shd w:val="clear" w:color="auto" w:fill="auto"/>
            <w:vAlign w:val="center"/>
          </w:tcPr>
          <w:p w14:paraId="2E97D8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2020年预算计划完成数</w:t>
            </w:r>
          </w:p>
        </w:tc>
        <w:tc>
          <w:tcPr>
            <w:tcW w:w="2896" w:type="dxa"/>
            <w:gridSpan w:val="4"/>
            <w:shd w:val="clear" w:color="auto" w:fill="auto"/>
            <w:vAlign w:val="center"/>
          </w:tcPr>
          <w:p w14:paraId="4D5D71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2025年规划目标</w:t>
            </w:r>
          </w:p>
        </w:tc>
        <w:tc>
          <w:tcPr>
            <w:tcW w:w="826" w:type="dxa"/>
            <w:vMerge w:val="restart"/>
            <w:shd w:val="clear" w:color="auto" w:fill="auto"/>
            <w:vAlign w:val="center"/>
          </w:tcPr>
          <w:p w14:paraId="7E8993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指标</w:t>
            </w:r>
          </w:p>
          <w:p w14:paraId="76E114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属性</w:t>
            </w:r>
          </w:p>
        </w:tc>
      </w:tr>
      <w:tr w14:paraId="1A2F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494" w:type="dxa"/>
            <w:vMerge w:val="continue"/>
            <w:shd w:val="clear" w:color="auto" w:fill="auto"/>
            <w:noWrap/>
            <w:vAlign w:val="center"/>
          </w:tcPr>
          <w:p w14:paraId="03AB4706">
            <w:pPr>
              <w:widowControl/>
              <w:jc w:val="center"/>
              <w:rPr>
                <w:rFonts w:hint="eastAsia" w:ascii="宋体" w:hAnsi="宋体" w:eastAsia="宋体" w:cs="宋体"/>
                <w:kern w:val="0"/>
                <w:sz w:val="20"/>
                <w:szCs w:val="20"/>
              </w:rPr>
            </w:pPr>
          </w:p>
        </w:tc>
        <w:tc>
          <w:tcPr>
            <w:tcW w:w="1950" w:type="dxa"/>
            <w:gridSpan w:val="2"/>
            <w:vMerge w:val="continue"/>
            <w:shd w:val="clear" w:color="auto" w:fill="auto"/>
            <w:vAlign w:val="center"/>
          </w:tcPr>
          <w:p w14:paraId="48F1AAC8">
            <w:pPr>
              <w:widowControl/>
              <w:jc w:val="center"/>
              <w:rPr>
                <w:rFonts w:hint="eastAsia" w:ascii="宋体" w:hAnsi="宋体" w:eastAsia="宋体" w:cs="宋体"/>
                <w:kern w:val="0"/>
                <w:sz w:val="20"/>
                <w:szCs w:val="20"/>
              </w:rPr>
            </w:pPr>
          </w:p>
        </w:tc>
        <w:tc>
          <w:tcPr>
            <w:tcW w:w="831" w:type="dxa"/>
            <w:vMerge w:val="continue"/>
            <w:shd w:val="clear" w:color="auto" w:fill="auto"/>
            <w:vAlign w:val="center"/>
          </w:tcPr>
          <w:p w14:paraId="05F72E0D">
            <w:pPr>
              <w:widowControl/>
              <w:jc w:val="center"/>
              <w:rPr>
                <w:rFonts w:hint="eastAsia" w:ascii="宋体" w:hAnsi="宋体" w:eastAsia="宋体" w:cs="宋体"/>
                <w:kern w:val="0"/>
                <w:sz w:val="20"/>
                <w:szCs w:val="20"/>
              </w:rPr>
            </w:pPr>
          </w:p>
        </w:tc>
        <w:tc>
          <w:tcPr>
            <w:tcW w:w="773" w:type="dxa"/>
            <w:shd w:val="clear" w:color="auto" w:fill="auto"/>
            <w:vAlign w:val="center"/>
          </w:tcPr>
          <w:p w14:paraId="693FC9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绝对值</w:t>
            </w:r>
          </w:p>
        </w:tc>
        <w:tc>
          <w:tcPr>
            <w:tcW w:w="738" w:type="dxa"/>
            <w:shd w:val="clear" w:color="auto" w:fill="auto"/>
            <w:vAlign w:val="center"/>
          </w:tcPr>
          <w:p w14:paraId="164D44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力争值</w:t>
            </w:r>
          </w:p>
        </w:tc>
        <w:tc>
          <w:tcPr>
            <w:tcW w:w="693" w:type="dxa"/>
            <w:shd w:val="clear" w:color="auto" w:fill="auto"/>
            <w:vAlign w:val="center"/>
          </w:tcPr>
          <w:p w14:paraId="0A8B09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年均增长（%）</w:t>
            </w:r>
          </w:p>
        </w:tc>
        <w:tc>
          <w:tcPr>
            <w:tcW w:w="692" w:type="dxa"/>
            <w:shd w:val="clear" w:color="auto" w:fill="auto"/>
            <w:vAlign w:val="center"/>
          </w:tcPr>
          <w:p w14:paraId="7F218D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力争年均增长（%）</w:t>
            </w:r>
          </w:p>
        </w:tc>
        <w:tc>
          <w:tcPr>
            <w:tcW w:w="826" w:type="dxa"/>
            <w:vMerge w:val="continue"/>
            <w:shd w:val="clear" w:color="auto" w:fill="auto"/>
            <w:vAlign w:val="center"/>
          </w:tcPr>
          <w:p w14:paraId="73F7CB1F">
            <w:pPr>
              <w:widowControl/>
              <w:jc w:val="center"/>
              <w:rPr>
                <w:rFonts w:hint="eastAsia" w:ascii="宋体" w:hAnsi="宋体" w:eastAsia="宋体" w:cs="宋体"/>
                <w:kern w:val="0"/>
                <w:sz w:val="20"/>
                <w:szCs w:val="20"/>
              </w:rPr>
            </w:pPr>
          </w:p>
        </w:tc>
      </w:tr>
      <w:tr w14:paraId="0B17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4" w:type="dxa"/>
            <w:vMerge w:val="restart"/>
            <w:shd w:val="clear" w:color="auto" w:fill="auto"/>
            <w:noWrap/>
            <w:vAlign w:val="center"/>
          </w:tcPr>
          <w:p w14:paraId="38098A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950" w:type="dxa"/>
            <w:gridSpan w:val="2"/>
            <w:shd w:val="clear" w:color="auto" w:fill="auto"/>
            <w:vAlign w:val="center"/>
          </w:tcPr>
          <w:p w14:paraId="2EF803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财政总收入（亿元）</w:t>
            </w:r>
          </w:p>
        </w:tc>
        <w:tc>
          <w:tcPr>
            <w:tcW w:w="831" w:type="dxa"/>
            <w:shd w:val="clear" w:color="auto" w:fill="auto"/>
            <w:vAlign w:val="center"/>
          </w:tcPr>
          <w:p w14:paraId="459EDC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8.98</w:t>
            </w:r>
          </w:p>
        </w:tc>
        <w:tc>
          <w:tcPr>
            <w:tcW w:w="773" w:type="dxa"/>
            <w:shd w:val="clear" w:color="auto" w:fill="auto"/>
            <w:vAlign w:val="center"/>
          </w:tcPr>
          <w:p w14:paraId="2709B0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11.9</w:t>
            </w:r>
          </w:p>
        </w:tc>
        <w:tc>
          <w:tcPr>
            <w:tcW w:w="738" w:type="dxa"/>
            <w:shd w:val="clear" w:color="auto" w:fill="auto"/>
            <w:vAlign w:val="center"/>
          </w:tcPr>
          <w:p w14:paraId="4F6CD8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13.3</w:t>
            </w:r>
          </w:p>
        </w:tc>
        <w:tc>
          <w:tcPr>
            <w:tcW w:w="693" w:type="dxa"/>
            <w:shd w:val="clear" w:color="auto" w:fill="auto"/>
            <w:vAlign w:val="center"/>
          </w:tcPr>
          <w:p w14:paraId="0D4676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692" w:type="dxa"/>
            <w:shd w:val="clear" w:color="auto" w:fill="auto"/>
            <w:vAlign w:val="center"/>
          </w:tcPr>
          <w:p w14:paraId="08320F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826" w:type="dxa"/>
            <w:shd w:val="clear" w:color="auto" w:fill="auto"/>
            <w:vAlign w:val="center"/>
          </w:tcPr>
          <w:p w14:paraId="3FB38E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530D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494" w:type="dxa"/>
            <w:vMerge w:val="continue"/>
            <w:vAlign w:val="center"/>
          </w:tcPr>
          <w:p w14:paraId="2775DE87">
            <w:pPr>
              <w:widowControl/>
              <w:jc w:val="center"/>
              <w:rPr>
                <w:rFonts w:hint="eastAsia" w:ascii="宋体" w:hAnsi="宋体" w:eastAsia="宋体" w:cs="宋体"/>
                <w:kern w:val="0"/>
                <w:sz w:val="20"/>
                <w:szCs w:val="20"/>
              </w:rPr>
            </w:pPr>
          </w:p>
        </w:tc>
        <w:tc>
          <w:tcPr>
            <w:tcW w:w="1950" w:type="dxa"/>
            <w:gridSpan w:val="2"/>
            <w:shd w:val="clear" w:color="auto" w:fill="auto"/>
            <w:vAlign w:val="center"/>
          </w:tcPr>
          <w:p w14:paraId="5086AA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一般公共预算收入</w:t>
            </w:r>
          </w:p>
          <w:p w14:paraId="581C3F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（亿元）</w:t>
            </w:r>
          </w:p>
        </w:tc>
        <w:tc>
          <w:tcPr>
            <w:tcW w:w="831" w:type="dxa"/>
            <w:shd w:val="clear" w:color="auto" w:fill="auto"/>
            <w:vAlign w:val="center"/>
          </w:tcPr>
          <w:p w14:paraId="277525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773" w:type="dxa"/>
            <w:shd w:val="clear" w:color="auto" w:fill="auto"/>
            <w:noWrap/>
            <w:vAlign w:val="center"/>
          </w:tcPr>
          <w:p w14:paraId="0F7963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w:t>
            </w:r>
          </w:p>
        </w:tc>
        <w:tc>
          <w:tcPr>
            <w:tcW w:w="738" w:type="dxa"/>
            <w:shd w:val="clear" w:color="auto" w:fill="auto"/>
            <w:noWrap/>
            <w:vAlign w:val="center"/>
          </w:tcPr>
          <w:p w14:paraId="00A328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w:t>
            </w:r>
          </w:p>
        </w:tc>
        <w:tc>
          <w:tcPr>
            <w:tcW w:w="693" w:type="dxa"/>
            <w:shd w:val="clear" w:color="auto" w:fill="auto"/>
            <w:vAlign w:val="center"/>
          </w:tcPr>
          <w:p w14:paraId="791113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692" w:type="dxa"/>
            <w:shd w:val="clear" w:color="auto" w:fill="auto"/>
            <w:vAlign w:val="center"/>
          </w:tcPr>
          <w:p w14:paraId="471D19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826" w:type="dxa"/>
            <w:shd w:val="clear" w:color="auto" w:fill="auto"/>
            <w:vAlign w:val="center"/>
          </w:tcPr>
          <w:p w14:paraId="6291E0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658D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494" w:type="dxa"/>
            <w:shd w:val="clear" w:color="auto" w:fill="auto"/>
            <w:noWrap/>
            <w:vAlign w:val="center"/>
          </w:tcPr>
          <w:p w14:paraId="6737A9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950" w:type="dxa"/>
            <w:gridSpan w:val="2"/>
            <w:shd w:val="clear" w:color="auto" w:fill="auto"/>
            <w:vAlign w:val="center"/>
          </w:tcPr>
          <w:p w14:paraId="6EA884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社会消费品零售总额（亿元）</w:t>
            </w:r>
          </w:p>
        </w:tc>
        <w:tc>
          <w:tcPr>
            <w:tcW w:w="831" w:type="dxa"/>
            <w:shd w:val="clear" w:color="auto" w:fill="auto"/>
            <w:vAlign w:val="center"/>
          </w:tcPr>
          <w:p w14:paraId="31B175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16.5</w:t>
            </w:r>
          </w:p>
        </w:tc>
        <w:tc>
          <w:tcPr>
            <w:tcW w:w="773" w:type="dxa"/>
            <w:shd w:val="clear" w:color="auto" w:fill="auto"/>
            <w:noWrap/>
            <w:vAlign w:val="center"/>
          </w:tcPr>
          <w:p w14:paraId="66E6FF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25.4</w:t>
            </w:r>
          </w:p>
        </w:tc>
        <w:tc>
          <w:tcPr>
            <w:tcW w:w="738" w:type="dxa"/>
            <w:shd w:val="clear" w:color="auto" w:fill="auto"/>
            <w:noWrap/>
            <w:vAlign w:val="center"/>
          </w:tcPr>
          <w:p w14:paraId="68E5D09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26.4</w:t>
            </w:r>
          </w:p>
        </w:tc>
        <w:tc>
          <w:tcPr>
            <w:tcW w:w="693" w:type="dxa"/>
            <w:shd w:val="clear" w:color="auto" w:fill="auto"/>
            <w:vAlign w:val="center"/>
          </w:tcPr>
          <w:p w14:paraId="75902D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692" w:type="dxa"/>
            <w:shd w:val="clear" w:color="auto" w:fill="auto"/>
            <w:vAlign w:val="center"/>
          </w:tcPr>
          <w:p w14:paraId="3CF895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826" w:type="dxa"/>
            <w:shd w:val="clear" w:color="auto" w:fill="auto"/>
            <w:vAlign w:val="center"/>
          </w:tcPr>
          <w:p w14:paraId="1B06C2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3455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494" w:type="dxa"/>
            <w:shd w:val="clear" w:color="auto" w:fill="auto"/>
            <w:noWrap/>
            <w:vAlign w:val="center"/>
          </w:tcPr>
          <w:p w14:paraId="1416AE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950" w:type="dxa"/>
            <w:gridSpan w:val="2"/>
            <w:shd w:val="clear" w:color="auto" w:fill="auto"/>
            <w:vAlign w:val="center"/>
          </w:tcPr>
          <w:p w14:paraId="4AA240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三次产业结构（%）</w:t>
            </w:r>
          </w:p>
        </w:tc>
        <w:tc>
          <w:tcPr>
            <w:tcW w:w="831" w:type="dxa"/>
            <w:shd w:val="clear" w:color="auto" w:fill="auto"/>
            <w:vAlign w:val="center"/>
          </w:tcPr>
          <w:p w14:paraId="27D7A170">
            <w:pPr>
              <w:keepNext w:val="0"/>
              <w:keepLines w:val="0"/>
              <w:pageBreakBefore w:val="0"/>
              <w:widowControl/>
              <w:kinsoku/>
              <w:wordWrap/>
              <w:overflowPunct/>
              <w:topLinePunct w:val="0"/>
              <w:autoSpaceDE/>
              <w:autoSpaceDN/>
              <w:bidi w:val="0"/>
              <w:adjustRightInd/>
              <w:snapToGrid/>
              <w:spacing w:line="16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37.5</w:t>
            </w:r>
            <w:r>
              <w:rPr>
                <w:rFonts w:hint="eastAsia" w:ascii="宋体" w:hAnsi="宋体" w:cs="宋体"/>
                <w:kern w:val="0"/>
                <w:sz w:val="20"/>
                <w:szCs w:val="20"/>
                <w:lang w:val="en-US" w:eastAsia="zh-CN"/>
              </w:rPr>
              <w:t xml:space="preserve">    </w:t>
            </w:r>
            <w:r>
              <w:rPr>
                <w:rFonts w:hint="eastAsia" w:ascii="宋体" w:hAnsi="宋体" w:eastAsia="宋体" w:cs="宋体"/>
                <w:kern w:val="0"/>
                <w:sz w:val="20"/>
                <w:szCs w:val="20"/>
              </w:rPr>
              <w:t>∶14.4</w:t>
            </w:r>
            <w:r>
              <w:rPr>
                <w:rFonts w:hint="eastAsia" w:ascii="宋体" w:hAnsi="宋体" w:cs="宋体"/>
                <w:kern w:val="0"/>
                <w:sz w:val="20"/>
                <w:szCs w:val="20"/>
                <w:lang w:val="en-US" w:eastAsia="zh-CN"/>
              </w:rPr>
              <w:t xml:space="preserve">    </w:t>
            </w:r>
            <w:r>
              <w:rPr>
                <w:rFonts w:hint="eastAsia" w:ascii="宋体" w:hAnsi="宋体" w:eastAsia="宋体" w:cs="宋体"/>
                <w:kern w:val="0"/>
                <w:sz w:val="20"/>
                <w:szCs w:val="20"/>
              </w:rPr>
              <w:t>∶48.1</w:t>
            </w:r>
          </w:p>
        </w:tc>
        <w:tc>
          <w:tcPr>
            <w:tcW w:w="773" w:type="dxa"/>
            <w:shd w:val="clear" w:color="auto" w:fill="auto"/>
            <w:vAlign w:val="center"/>
          </w:tcPr>
          <w:p w14:paraId="5F6C0D4D">
            <w:pPr>
              <w:keepNext w:val="0"/>
              <w:keepLines w:val="0"/>
              <w:pageBreakBefore w:val="0"/>
              <w:widowControl/>
              <w:kinsoku/>
              <w:wordWrap/>
              <w:overflowPunct/>
              <w:topLinePunct w:val="0"/>
              <w:autoSpaceDE/>
              <w:autoSpaceDN/>
              <w:bidi w:val="0"/>
              <w:adjustRightInd/>
              <w:snapToGrid/>
              <w:spacing w:line="16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32.8</w:t>
            </w:r>
          </w:p>
          <w:p w14:paraId="57D5FD3C">
            <w:pPr>
              <w:keepNext w:val="0"/>
              <w:keepLines w:val="0"/>
              <w:pageBreakBefore w:val="0"/>
              <w:widowControl/>
              <w:kinsoku/>
              <w:wordWrap/>
              <w:overflowPunct/>
              <w:topLinePunct w:val="0"/>
              <w:autoSpaceDE/>
              <w:autoSpaceDN/>
              <w:bidi w:val="0"/>
              <w:adjustRightInd/>
              <w:snapToGrid/>
              <w:spacing w:line="16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∶18.6</w:t>
            </w:r>
            <w:r>
              <w:rPr>
                <w:rFonts w:hint="eastAsia" w:ascii="宋体" w:hAnsi="宋体" w:cs="宋体"/>
                <w:kern w:val="0"/>
                <w:sz w:val="20"/>
                <w:szCs w:val="20"/>
                <w:lang w:val="en-US" w:eastAsia="zh-CN"/>
              </w:rPr>
              <w:t xml:space="preserve"> </w:t>
            </w:r>
            <w:r>
              <w:rPr>
                <w:rFonts w:hint="eastAsia" w:ascii="宋体" w:hAnsi="宋体" w:eastAsia="宋体" w:cs="宋体"/>
                <w:kern w:val="0"/>
                <w:sz w:val="20"/>
                <w:szCs w:val="20"/>
              </w:rPr>
              <w:t>∶</w:t>
            </w:r>
          </w:p>
          <w:p w14:paraId="535068CB">
            <w:pPr>
              <w:keepNext w:val="0"/>
              <w:keepLines w:val="0"/>
              <w:pageBreakBefore w:val="0"/>
              <w:widowControl/>
              <w:kinsoku/>
              <w:wordWrap/>
              <w:overflowPunct/>
              <w:topLinePunct w:val="0"/>
              <w:autoSpaceDE/>
              <w:autoSpaceDN/>
              <w:bidi w:val="0"/>
              <w:adjustRightInd/>
              <w:snapToGrid/>
              <w:spacing w:line="16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48.6</w:t>
            </w:r>
          </w:p>
        </w:tc>
        <w:tc>
          <w:tcPr>
            <w:tcW w:w="738" w:type="dxa"/>
            <w:shd w:val="clear" w:color="auto" w:fill="auto"/>
            <w:vAlign w:val="center"/>
          </w:tcPr>
          <w:p w14:paraId="135A49AD">
            <w:pPr>
              <w:keepNext w:val="0"/>
              <w:keepLines w:val="0"/>
              <w:pageBreakBefore w:val="0"/>
              <w:widowControl/>
              <w:kinsoku/>
              <w:wordWrap/>
              <w:overflowPunct/>
              <w:topLinePunct w:val="0"/>
              <w:autoSpaceDE/>
              <w:autoSpaceDN/>
              <w:bidi w:val="0"/>
              <w:adjustRightInd/>
              <w:snapToGrid/>
              <w:spacing w:line="16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27.3</w:t>
            </w:r>
            <w:r>
              <w:rPr>
                <w:rFonts w:hint="eastAsia" w:ascii="宋体" w:hAnsi="宋体" w:cs="宋体"/>
                <w:kern w:val="0"/>
                <w:sz w:val="20"/>
                <w:szCs w:val="20"/>
                <w:lang w:val="en-US" w:eastAsia="zh-CN"/>
              </w:rPr>
              <w:t xml:space="preserve"> </w:t>
            </w:r>
            <w:r>
              <w:rPr>
                <w:rFonts w:hint="eastAsia" w:ascii="宋体" w:hAnsi="宋体" w:eastAsia="宋体" w:cs="宋体"/>
                <w:kern w:val="0"/>
                <w:sz w:val="20"/>
                <w:szCs w:val="20"/>
              </w:rPr>
              <w:t>∶17.5</w:t>
            </w:r>
            <w:r>
              <w:rPr>
                <w:rFonts w:hint="eastAsia" w:ascii="宋体" w:hAnsi="宋体" w:cs="宋体"/>
                <w:kern w:val="0"/>
                <w:sz w:val="20"/>
                <w:szCs w:val="20"/>
                <w:lang w:val="en-US" w:eastAsia="zh-CN"/>
              </w:rPr>
              <w:t xml:space="preserve">  </w:t>
            </w:r>
            <w:r>
              <w:rPr>
                <w:rFonts w:hint="eastAsia" w:ascii="宋体" w:hAnsi="宋体" w:eastAsia="宋体" w:cs="宋体"/>
                <w:kern w:val="0"/>
                <w:sz w:val="20"/>
                <w:szCs w:val="20"/>
              </w:rPr>
              <w:t>∶55.2</w:t>
            </w:r>
          </w:p>
        </w:tc>
        <w:tc>
          <w:tcPr>
            <w:tcW w:w="693" w:type="dxa"/>
            <w:shd w:val="clear" w:color="auto" w:fill="auto"/>
            <w:vAlign w:val="center"/>
          </w:tcPr>
          <w:p w14:paraId="0D06A6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2EB746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307EE4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310A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494" w:type="dxa"/>
            <w:shd w:val="clear" w:color="auto" w:fill="auto"/>
            <w:noWrap/>
            <w:vAlign w:val="center"/>
          </w:tcPr>
          <w:p w14:paraId="0B4854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950" w:type="dxa"/>
            <w:gridSpan w:val="2"/>
            <w:shd w:val="clear" w:color="auto" w:fill="auto"/>
            <w:vAlign w:val="center"/>
          </w:tcPr>
          <w:p w14:paraId="772EC6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spacing w:val="-11"/>
                <w:kern w:val="0"/>
                <w:sz w:val="20"/>
                <w:szCs w:val="20"/>
              </w:rPr>
              <w:t>二三产占GDP比重（%）</w:t>
            </w:r>
          </w:p>
        </w:tc>
        <w:tc>
          <w:tcPr>
            <w:tcW w:w="831" w:type="dxa"/>
            <w:shd w:val="clear" w:color="auto" w:fill="auto"/>
            <w:vAlign w:val="center"/>
          </w:tcPr>
          <w:p w14:paraId="1BC2E8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position w:val="0"/>
                <w:sz w:val="20"/>
                <w:szCs w:val="20"/>
              </w:rPr>
            </w:pPr>
            <w:r>
              <w:rPr>
                <w:rFonts w:hint="eastAsia" w:ascii="宋体" w:hAnsi="宋体" w:eastAsia="宋体" w:cs="宋体"/>
                <w:spacing w:val="-11"/>
                <w:kern w:val="0"/>
                <w:position w:val="0"/>
                <w:sz w:val="20"/>
                <w:szCs w:val="20"/>
              </w:rPr>
              <w:t>62.5</w:t>
            </w:r>
          </w:p>
        </w:tc>
        <w:tc>
          <w:tcPr>
            <w:tcW w:w="773" w:type="dxa"/>
            <w:shd w:val="clear" w:color="auto" w:fill="auto"/>
            <w:noWrap/>
            <w:vAlign w:val="center"/>
          </w:tcPr>
          <w:p w14:paraId="5F3B01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67.2</w:t>
            </w:r>
          </w:p>
        </w:tc>
        <w:tc>
          <w:tcPr>
            <w:tcW w:w="738" w:type="dxa"/>
            <w:shd w:val="clear" w:color="auto" w:fill="auto"/>
            <w:noWrap/>
            <w:vAlign w:val="center"/>
          </w:tcPr>
          <w:p w14:paraId="3E6F8CA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kern w:val="0"/>
                <w:sz w:val="20"/>
                <w:szCs w:val="20"/>
              </w:rPr>
            </w:pPr>
            <w:r>
              <w:rPr>
                <w:rFonts w:hint="eastAsia" w:ascii="宋体" w:hAnsi="宋体" w:eastAsia="宋体" w:cs="宋体"/>
                <w:kern w:val="0"/>
                <w:sz w:val="20"/>
                <w:szCs w:val="20"/>
              </w:rPr>
              <w:t>72.8</w:t>
            </w:r>
          </w:p>
        </w:tc>
        <w:tc>
          <w:tcPr>
            <w:tcW w:w="693" w:type="dxa"/>
            <w:shd w:val="clear" w:color="auto" w:fill="auto"/>
            <w:vAlign w:val="center"/>
          </w:tcPr>
          <w:p w14:paraId="2A4B9D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32B60F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669331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789D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494" w:type="dxa"/>
            <w:shd w:val="clear" w:color="auto" w:fill="auto"/>
            <w:noWrap/>
            <w:vAlign w:val="center"/>
          </w:tcPr>
          <w:p w14:paraId="2C7957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950" w:type="dxa"/>
            <w:gridSpan w:val="2"/>
            <w:shd w:val="clear" w:color="auto" w:fill="auto"/>
            <w:vAlign w:val="center"/>
          </w:tcPr>
          <w:p w14:paraId="30917D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旅游总收入（亿元）</w:t>
            </w:r>
          </w:p>
        </w:tc>
        <w:tc>
          <w:tcPr>
            <w:tcW w:w="831" w:type="dxa"/>
            <w:shd w:val="clear" w:color="auto" w:fill="auto"/>
            <w:vAlign w:val="center"/>
          </w:tcPr>
          <w:p w14:paraId="4770CAED">
            <w:pPr>
              <w:widowControl/>
              <w:jc w:val="center"/>
              <w:rPr>
                <w:rFonts w:hint="eastAsia" w:ascii="宋体" w:hAnsi="宋体" w:eastAsia="宋体" w:cs="宋体"/>
                <w:spacing w:val="-11"/>
                <w:kern w:val="0"/>
                <w:position w:val="0"/>
                <w:sz w:val="20"/>
                <w:szCs w:val="20"/>
              </w:rPr>
            </w:pPr>
            <w:r>
              <w:rPr>
                <w:rFonts w:hint="eastAsia" w:ascii="宋体" w:hAnsi="宋体" w:eastAsia="宋体" w:cs="宋体"/>
                <w:spacing w:val="-17"/>
                <w:kern w:val="0"/>
                <w:position w:val="0"/>
                <w:sz w:val="20"/>
                <w:szCs w:val="20"/>
              </w:rPr>
              <w:t>97.69</w:t>
            </w:r>
          </w:p>
        </w:tc>
        <w:tc>
          <w:tcPr>
            <w:tcW w:w="773" w:type="dxa"/>
            <w:shd w:val="clear" w:color="auto" w:fill="auto"/>
            <w:noWrap/>
            <w:vAlign w:val="center"/>
          </w:tcPr>
          <w:p w14:paraId="14269F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230</w:t>
            </w:r>
          </w:p>
        </w:tc>
        <w:tc>
          <w:tcPr>
            <w:tcW w:w="738" w:type="dxa"/>
            <w:shd w:val="clear" w:color="auto" w:fill="auto"/>
            <w:noWrap/>
            <w:vAlign w:val="center"/>
          </w:tcPr>
          <w:p w14:paraId="12E92595">
            <w:pPr>
              <w:widowControl/>
              <w:rPr>
                <w:rFonts w:hint="eastAsia" w:ascii="宋体" w:hAnsi="宋体" w:eastAsia="宋体" w:cs="宋体"/>
                <w:kern w:val="0"/>
                <w:sz w:val="20"/>
                <w:szCs w:val="20"/>
              </w:rPr>
            </w:pPr>
            <w:r>
              <w:rPr>
                <w:rFonts w:hint="eastAsia" w:ascii="宋体" w:hAnsi="宋体" w:eastAsia="宋体" w:cs="宋体"/>
                <w:kern w:val="0"/>
                <w:sz w:val="20"/>
                <w:szCs w:val="20"/>
              </w:rPr>
              <w:t>245</w:t>
            </w:r>
          </w:p>
        </w:tc>
        <w:tc>
          <w:tcPr>
            <w:tcW w:w="693" w:type="dxa"/>
            <w:shd w:val="clear" w:color="auto" w:fill="auto"/>
            <w:vAlign w:val="center"/>
          </w:tcPr>
          <w:p w14:paraId="691591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22.5</w:t>
            </w:r>
          </w:p>
        </w:tc>
        <w:tc>
          <w:tcPr>
            <w:tcW w:w="692" w:type="dxa"/>
            <w:shd w:val="clear" w:color="auto" w:fill="auto"/>
            <w:vAlign w:val="center"/>
          </w:tcPr>
          <w:p w14:paraId="7E0640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23.5</w:t>
            </w:r>
          </w:p>
        </w:tc>
        <w:tc>
          <w:tcPr>
            <w:tcW w:w="826" w:type="dxa"/>
            <w:shd w:val="clear" w:color="auto" w:fill="auto"/>
            <w:vAlign w:val="center"/>
          </w:tcPr>
          <w:p w14:paraId="5FA0B6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21E6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2444" w:type="dxa"/>
            <w:gridSpan w:val="3"/>
            <w:shd w:val="clear" w:color="auto" w:fill="auto"/>
            <w:noWrap/>
            <w:vAlign w:val="center"/>
          </w:tcPr>
          <w:p w14:paraId="392F8EC7">
            <w:pPr>
              <w:widowControl/>
              <w:ind w:firstLine="402" w:firstLineChars="20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二、社会进步</w:t>
            </w:r>
          </w:p>
        </w:tc>
        <w:tc>
          <w:tcPr>
            <w:tcW w:w="831" w:type="dxa"/>
            <w:shd w:val="clear" w:color="auto" w:fill="auto"/>
            <w:vAlign w:val="center"/>
          </w:tcPr>
          <w:p w14:paraId="486501A1">
            <w:pPr>
              <w:widowControl/>
              <w:jc w:val="center"/>
              <w:rPr>
                <w:rFonts w:hint="eastAsia" w:ascii="宋体" w:hAnsi="宋体" w:eastAsia="宋体" w:cs="宋体"/>
                <w:kern w:val="0"/>
                <w:sz w:val="20"/>
                <w:szCs w:val="20"/>
              </w:rPr>
            </w:pPr>
          </w:p>
        </w:tc>
        <w:tc>
          <w:tcPr>
            <w:tcW w:w="773" w:type="dxa"/>
            <w:shd w:val="clear" w:color="auto" w:fill="auto"/>
            <w:noWrap/>
            <w:vAlign w:val="center"/>
          </w:tcPr>
          <w:p w14:paraId="6BB67353">
            <w:pPr>
              <w:widowControl/>
              <w:ind w:firstLine="400" w:firstLineChars="200"/>
              <w:jc w:val="center"/>
              <w:rPr>
                <w:rFonts w:hint="eastAsia" w:ascii="宋体" w:hAnsi="宋体" w:eastAsia="宋体" w:cs="宋体"/>
                <w:kern w:val="0"/>
                <w:sz w:val="20"/>
                <w:szCs w:val="20"/>
              </w:rPr>
            </w:pPr>
          </w:p>
        </w:tc>
        <w:tc>
          <w:tcPr>
            <w:tcW w:w="738" w:type="dxa"/>
            <w:shd w:val="clear" w:color="auto" w:fill="auto"/>
            <w:noWrap/>
            <w:vAlign w:val="center"/>
          </w:tcPr>
          <w:p w14:paraId="5F23DC72">
            <w:pPr>
              <w:widowControl/>
              <w:ind w:firstLine="400" w:firstLineChars="200"/>
              <w:jc w:val="center"/>
              <w:rPr>
                <w:rFonts w:hint="eastAsia" w:ascii="宋体" w:hAnsi="宋体" w:eastAsia="宋体" w:cs="宋体"/>
                <w:kern w:val="0"/>
                <w:sz w:val="20"/>
                <w:szCs w:val="20"/>
              </w:rPr>
            </w:pPr>
          </w:p>
        </w:tc>
        <w:tc>
          <w:tcPr>
            <w:tcW w:w="693" w:type="dxa"/>
            <w:shd w:val="clear" w:color="auto" w:fill="auto"/>
            <w:vAlign w:val="center"/>
          </w:tcPr>
          <w:p w14:paraId="688966EF">
            <w:pPr>
              <w:widowControl/>
              <w:jc w:val="center"/>
              <w:rPr>
                <w:rFonts w:hint="eastAsia" w:ascii="宋体" w:hAnsi="宋体" w:eastAsia="宋体" w:cs="宋体"/>
                <w:kern w:val="0"/>
                <w:sz w:val="20"/>
                <w:szCs w:val="20"/>
              </w:rPr>
            </w:pPr>
          </w:p>
        </w:tc>
        <w:tc>
          <w:tcPr>
            <w:tcW w:w="692" w:type="dxa"/>
            <w:shd w:val="clear" w:color="auto" w:fill="auto"/>
            <w:vAlign w:val="center"/>
          </w:tcPr>
          <w:p w14:paraId="0514FD39">
            <w:pPr>
              <w:widowControl/>
              <w:jc w:val="center"/>
              <w:rPr>
                <w:rFonts w:hint="eastAsia" w:ascii="宋体" w:hAnsi="宋体" w:eastAsia="宋体" w:cs="宋体"/>
                <w:kern w:val="0"/>
                <w:sz w:val="20"/>
                <w:szCs w:val="20"/>
              </w:rPr>
            </w:pPr>
          </w:p>
        </w:tc>
        <w:tc>
          <w:tcPr>
            <w:tcW w:w="826" w:type="dxa"/>
            <w:shd w:val="clear" w:color="auto" w:fill="auto"/>
            <w:noWrap/>
            <w:vAlign w:val="center"/>
          </w:tcPr>
          <w:p w14:paraId="4B6CC913">
            <w:pPr>
              <w:widowControl/>
              <w:jc w:val="center"/>
              <w:rPr>
                <w:rFonts w:hint="eastAsia" w:ascii="宋体" w:hAnsi="宋体" w:eastAsia="宋体" w:cs="宋体"/>
                <w:kern w:val="0"/>
                <w:sz w:val="20"/>
                <w:szCs w:val="20"/>
              </w:rPr>
            </w:pPr>
          </w:p>
        </w:tc>
      </w:tr>
      <w:tr w14:paraId="0E98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494" w:type="dxa"/>
            <w:shd w:val="clear" w:color="auto" w:fill="auto"/>
            <w:noWrap/>
            <w:vAlign w:val="center"/>
          </w:tcPr>
          <w:p w14:paraId="7B8DD3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50" w:type="dxa"/>
            <w:gridSpan w:val="2"/>
            <w:shd w:val="clear" w:color="auto" w:fill="auto"/>
            <w:vAlign w:val="center"/>
          </w:tcPr>
          <w:p w14:paraId="707B1A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城镇常住居民人均</w:t>
            </w:r>
          </w:p>
          <w:p w14:paraId="1DB78F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可支配收入（元）</w:t>
            </w:r>
          </w:p>
        </w:tc>
        <w:tc>
          <w:tcPr>
            <w:tcW w:w="831" w:type="dxa"/>
            <w:shd w:val="clear" w:color="auto" w:fill="auto"/>
            <w:vAlign w:val="center"/>
          </w:tcPr>
          <w:p w14:paraId="150C4A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35309</w:t>
            </w:r>
          </w:p>
        </w:tc>
        <w:tc>
          <w:tcPr>
            <w:tcW w:w="773" w:type="dxa"/>
            <w:shd w:val="clear" w:color="auto" w:fill="auto"/>
            <w:vAlign w:val="center"/>
          </w:tcPr>
          <w:p w14:paraId="7881EB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54328</w:t>
            </w:r>
          </w:p>
        </w:tc>
        <w:tc>
          <w:tcPr>
            <w:tcW w:w="738" w:type="dxa"/>
            <w:shd w:val="clear" w:color="auto" w:fill="auto"/>
            <w:noWrap/>
            <w:vAlign w:val="center"/>
          </w:tcPr>
          <w:p w14:paraId="246415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56349</w:t>
            </w:r>
          </w:p>
        </w:tc>
        <w:tc>
          <w:tcPr>
            <w:tcW w:w="693" w:type="dxa"/>
            <w:shd w:val="clear" w:color="auto" w:fill="auto"/>
            <w:vAlign w:val="center"/>
          </w:tcPr>
          <w:p w14:paraId="225F16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692" w:type="dxa"/>
            <w:shd w:val="clear" w:color="auto" w:fill="auto"/>
            <w:vAlign w:val="center"/>
          </w:tcPr>
          <w:p w14:paraId="476790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826" w:type="dxa"/>
            <w:shd w:val="clear" w:color="auto" w:fill="auto"/>
            <w:vAlign w:val="center"/>
          </w:tcPr>
          <w:p w14:paraId="281C8E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6EA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494" w:type="dxa"/>
            <w:shd w:val="clear" w:color="auto" w:fill="auto"/>
            <w:noWrap/>
            <w:vAlign w:val="center"/>
          </w:tcPr>
          <w:p w14:paraId="0E296D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950" w:type="dxa"/>
            <w:gridSpan w:val="2"/>
            <w:shd w:val="clear" w:color="auto" w:fill="auto"/>
            <w:vAlign w:val="center"/>
          </w:tcPr>
          <w:p w14:paraId="3BA427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农村常住居民人均</w:t>
            </w:r>
          </w:p>
          <w:p w14:paraId="707D95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可支配收入（元）</w:t>
            </w:r>
          </w:p>
        </w:tc>
        <w:tc>
          <w:tcPr>
            <w:tcW w:w="831" w:type="dxa"/>
            <w:shd w:val="clear" w:color="auto" w:fill="auto"/>
            <w:vAlign w:val="center"/>
          </w:tcPr>
          <w:p w14:paraId="152740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15237</w:t>
            </w:r>
          </w:p>
        </w:tc>
        <w:tc>
          <w:tcPr>
            <w:tcW w:w="773" w:type="dxa"/>
            <w:shd w:val="clear" w:color="auto" w:fill="auto"/>
            <w:vAlign w:val="center"/>
          </w:tcPr>
          <w:p w14:paraId="660154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24539</w:t>
            </w:r>
          </w:p>
        </w:tc>
        <w:tc>
          <w:tcPr>
            <w:tcW w:w="738" w:type="dxa"/>
            <w:shd w:val="clear" w:color="auto" w:fill="auto"/>
            <w:noWrap/>
            <w:vAlign w:val="center"/>
          </w:tcPr>
          <w:p w14:paraId="2D99C3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26373</w:t>
            </w:r>
          </w:p>
        </w:tc>
        <w:tc>
          <w:tcPr>
            <w:tcW w:w="693" w:type="dxa"/>
            <w:shd w:val="clear" w:color="auto" w:fill="auto"/>
            <w:vAlign w:val="center"/>
          </w:tcPr>
          <w:p w14:paraId="7A27A4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692" w:type="dxa"/>
            <w:shd w:val="clear" w:color="auto" w:fill="auto"/>
            <w:vAlign w:val="center"/>
          </w:tcPr>
          <w:p w14:paraId="75D79F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826" w:type="dxa"/>
            <w:shd w:val="clear" w:color="auto" w:fill="auto"/>
            <w:vAlign w:val="center"/>
          </w:tcPr>
          <w:p w14:paraId="178326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01E3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494" w:type="dxa"/>
            <w:shd w:val="clear" w:color="auto" w:fill="auto"/>
            <w:noWrap/>
            <w:vAlign w:val="center"/>
          </w:tcPr>
          <w:p w14:paraId="1EC9BA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950" w:type="dxa"/>
            <w:gridSpan w:val="2"/>
            <w:shd w:val="clear" w:color="auto" w:fill="auto"/>
            <w:vAlign w:val="center"/>
          </w:tcPr>
          <w:p w14:paraId="3BA726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城镇登记失业率（%）</w:t>
            </w:r>
          </w:p>
        </w:tc>
        <w:tc>
          <w:tcPr>
            <w:tcW w:w="831" w:type="dxa"/>
            <w:shd w:val="clear" w:color="auto" w:fill="auto"/>
            <w:vAlign w:val="center"/>
          </w:tcPr>
          <w:p w14:paraId="008F51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773" w:type="dxa"/>
            <w:shd w:val="clear" w:color="auto" w:fill="auto"/>
            <w:vAlign w:val="center"/>
          </w:tcPr>
          <w:p w14:paraId="43C00A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738" w:type="dxa"/>
            <w:shd w:val="clear" w:color="auto" w:fill="auto"/>
            <w:noWrap/>
            <w:vAlign w:val="center"/>
          </w:tcPr>
          <w:p w14:paraId="74DE87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311ACD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2C4028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4DF52E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3CCF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494" w:type="dxa"/>
            <w:shd w:val="clear" w:color="auto" w:fill="auto"/>
            <w:noWrap/>
            <w:vAlign w:val="center"/>
          </w:tcPr>
          <w:p w14:paraId="6391FC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950" w:type="dxa"/>
            <w:gridSpan w:val="2"/>
            <w:shd w:val="clear" w:color="auto" w:fill="auto"/>
            <w:vAlign w:val="center"/>
          </w:tcPr>
          <w:p w14:paraId="038979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九年义务教育巩固率（%）</w:t>
            </w:r>
          </w:p>
        </w:tc>
        <w:tc>
          <w:tcPr>
            <w:tcW w:w="831" w:type="dxa"/>
            <w:shd w:val="clear" w:color="auto" w:fill="auto"/>
            <w:vAlign w:val="center"/>
          </w:tcPr>
          <w:p w14:paraId="2C0732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101.03</w:t>
            </w:r>
          </w:p>
        </w:tc>
        <w:tc>
          <w:tcPr>
            <w:tcW w:w="773" w:type="dxa"/>
            <w:shd w:val="clear" w:color="auto" w:fill="auto"/>
            <w:vAlign w:val="center"/>
          </w:tcPr>
          <w:p w14:paraId="0F1A2B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102</w:t>
            </w:r>
          </w:p>
        </w:tc>
        <w:tc>
          <w:tcPr>
            <w:tcW w:w="738" w:type="dxa"/>
            <w:shd w:val="clear" w:color="auto" w:fill="auto"/>
            <w:vAlign w:val="center"/>
          </w:tcPr>
          <w:p w14:paraId="1344E2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5D7DEB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0D3D79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5B59F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1D61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494" w:type="dxa"/>
            <w:shd w:val="clear" w:color="auto" w:fill="auto"/>
            <w:noWrap/>
            <w:vAlign w:val="center"/>
          </w:tcPr>
          <w:p w14:paraId="0FE190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950" w:type="dxa"/>
            <w:gridSpan w:val="2"/>
            <w:shd w:val="clear" w:color="auto" w:fill="auto"/>
            <w:vAlign w:val="center"/>
          </w:tcPr>
          <w:p w14:paraId="3529F4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高中阶段教育毛</w:t>
            </w:r>
          </w:p>
          <w:p w14:paraId="0E75EE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入学率（%）</w:t>
            </w:r>
          </w:p>
        </w:tc>
        <w:tc>
          <w:tcPr>
            <w:tcW w:w="831" w:type="dxa"/>
            <w:shd w:val="clear" w:color="auto" w:fill="auto"/>
            <w:vAlign w:val="center"/>
          </w:tcPr>
          <w:p w14:paraId="12D7DF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95.49</w:t>
            </w:r>
          </w:p>
        </w:tc>
        <w:tc>
          <w:tcPr>
            <w:tcW w:w="773" w:type="dxa"/>
            <w:shd w:val="clear" w:color="auto" w:fill="auto"/>
            <w:vAlign w:val="center"/>
          </w:tcPr>
          <w:p w14:paraId="171A1E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97</w:t>
            </w:r>
          </w:p>
        </w:tc>
        <w:tc>
          <w:tcPr>
            <w:tcW w:w="738" w:type="dxa"/>
            <w:shd w:val="clear" w:color="auto" w:fill="auto"/>
            <w:vAlign w:val="center"/>
          </w:tcPr>
          <w:p w14:paraId="0CE43F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688424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380CD4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174D3E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3207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494" w:type="dxa"/>
            <w:shd w:val="clear" w:color="auto" w:fill="auto"/>
            <w:noWrap/>
            <w:vAlign w:val="center"/>
          </w:tcPr>
          <w:p w14:paraId="181A5E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950" w:type="dxa"/>
            <w:gridSpan w:val="2"/>
            <w:shd w:val="clear" w:color="auto" w:fill="auto"/>
            <w:vAlign w:val="center"/>
          </w:tcPr>
          <w:p w14:paraId="1956C8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学前教育毛入园率（%）</w:t>
            </w:r>
          </w:p>
        </w:tc>
        <w:tc>
          <w:tcPr>
            <w:tcW w:w="831" w:type="dxa"/>
            <w:shd w:val="clear" w:color="auto" w:fill="auto"/>
            <w:vAlign w:val="center"/>
          </w:tcPr>
          <w:p w14:paraId="460233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91.65</w:t>
            </w:r>
          </w:p>
        </w:tc>
        <w:tc>
          <w:tcPr>
            <w:tcW w:w="773" w:type="dxa"/>
            <w:shd w:val="clear" w:color="auto" w:fill="auto"/>
            <w:vAlign w:val="center"/>
          </w:tcPr>
          <w:p w14:paraId="60909E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738" w:type="dxa"/>
            <w:shd w:val="clear" w:color="auto" w:fill="auto"/>
            <w:vAlign w:val="center"/>
          </w:tcPr>
          <w:p w14:paraId="2E2810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468373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3A87E0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64BEF1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0B0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494" w:type="dxa"/>
            <w:shd w:val="clear" w:color="auto" w:fill="auto"/>
            <w:noWrap/>
            <w:vAlign w:val="center"/>
          </w:tcPr>
          <w:p w14:paraId="221C21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950" w:type="dxa"/>
            <w:gridSpan w:val="2"/>
            <w:shd w:val="clear" w:color="auto" w:fill="auto"/>
            <w:vAlign w:val="center"/>
          </w:tcPr>
          <w:p w14:paraId="6F8EF5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千人口医疗卫生机构床位数（张）</w:t>
            </w:r>
          </w:p>
        </w:tc>
        <w:tc>
          <w:tcPr>
            <w:tcW w:w="831" w:type="dxa"/>
            <w:shd w:val="clear" w:color="auto" w:fill="auto"/>
            <w:vAlign w:val="center"/>
          </w:tcPr>
          <w:p w14:paraId="31742D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6.05</w:t>
            </w:r>
          </w:p>
        </w:tc>
        <w:tc>
          <w:tcPr>
            <w:tcW w:w="773" w:type="dxa"/>
            <w:shd w:val="clear" w:color="auto" w:fill="auto"/>
            <w:vAlign w:val="center"/>
          </w:tcPr>
          <w:p w14:paraId="6DB94F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6.15</w:t>
            </w:r>
          </w:p>
        </w:tc>
        <w:tc>
          <w:tcPr>
            <w:tcW w:w="738" w:type="dxa"/>
            <w:shd w:val="clear" w:color="auto" w:fill="auto"/>
            <w:vAlign w:val="center"/>
          </w:tcPr>
          <w:p w14:paraId="5F485B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693" w:type="dxa"/>
            <w:shd w:val="clear" w:color="auto" w:fill="auto"/>
            <w:vAlign w:val="center"/>
          </w:tcPr>
          <w:p w14:paraId="6F1996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692" w:type="dxa"/>
            <w:shd w:val="clear" w:color="auto" w:fill="auto"/>
            <w:vAlign w:val="center"/>
          </w:tcPr>
          <w:p w14:paraId="33E78A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826" w:type="dxa"/>
            <w:shd w:val="clear" w:color="auto" w:fill="auto"/>
            <w:vAlign w:val="center"/>
          </w:tcPr>
          <w:p w14:paraId="64439F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4EAB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494" w:type="dxa"/>
            <w:shd w:val="clear" w:color="auto" w:fill="auto"/>
            <w:noWrap/>
            <w:vAlign w:val="center"/>
          </w:tcPr>
          <w:p w14:paraId="2C4EB1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950" w:type="dxa"/>
            <w:gridSpan w:val="2"/>
            <w:shd w:val="clear" w:color="auto" w:fill="auto"/>
            <w:vAlign w:val="center"/>
          </w:tcPr>
          <w:p w14:paraId="65399A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千人执业助理医师数（人）</w:t>
            </w:r>
          </w:p>
        </w:tc>
        <w:tc>
          <w:tcPr>
            <w:tcW w:w="831" w:type="dxa"/>
            <w:shd w:val="clear" w:color="auto" w:fill="auto"/>
            <w:vAlign w:val="center"/>
          </w:tcPr>
          <w:p w14:paraId="48960E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773" w:type="dxa"/>
            <w:shd w:val="clear" w:color="auto" w:fill="auto"/>
            <w:vAlign w:val="center"/>
          </w:tcPr>
          <w:p w14:paraId="4C9322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738" w:type="dxa"/>
            <w:shd w:val="clear" w:color="auto" w:fill="auto"/>
            <w:noWrap/>
            <w:vAlign w:val="center"/>
          </w:tcPr>
          <w:p w14:paraId="48B51A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693" w:type="dxa"/>
            <w:shd w:val="clear" w:color="auto" w:fill="auto"/>
            <w:vAlign w:val="center"/>
          </w:tcPr>
          <w:p w14:paraId="2B2DF2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692" w:type="dxa"/>
            <w:shd w:val="clear" w:color="auto" w:fill="auto"/>
            <w:vAlign w:val="center"/>
          </w:tcPr>
          <w:p w14:paraId="67B4BD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826" w:type="dxa"/>
            <w:shd w:val="clear" w:color="auto" w:fill="auto"/>
            <w:vAlign w:val="center"/>
          </w:tcPr>
          <w:p w14:paraId="7101BE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143A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494" w:type="dxa"/>
            <w:vMerge w:val="restart"/>
            <w:shd w:val="clear" w:color="auto" w:fill="auto"/>
            <w:noWrap/>
            <w:vAlign w:val="center"/>
          </w:tcPr>
          <w:p w14:paraId="2B1488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950" w:type="dxa"/>
            <w:gridSpan w:val="2"/>
            <w:vMerge w:val="restart"/>
            <w:shd w:val="clear" w:color="auto" w:fill="auto"/>
            <w:vAlign w:val="center"/>
          </w:tcPr>
          <w:p w14:paraId="39D086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kern w:val="0"/>
                <w:sz w:val="20"/>
                <w:szCs w:val="20"/>
              </w:rPr>
              <w:t xml:space="preserve">指标 </w:t>
            </w:r>
          </w:p>
        </w:tc>
        <w:tc>
          <w:tcPr>
            <w:tcW w:w="831" w:type="dxa"/>
            <w:vMerge w:val="restart"/>
            <w:shd w:val="clear" w:color="auto" w:fill="auto"/>
            <w:vAlign w:val="center"/>
          </w:tcPr>
          <w:p w14:paraId="6FD2C0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2020年预算计划完成数</w:t>
            </w:r>
          </w:p>
        </w:tc>
        <w:tc>
          <w:tcPr>
            <w:tcW w:w="2896" w:type="dxa"/>
            <w:gridSpan w:val="4"/>
            <w:shd w:val="clear" w:color="auto" w:fill="auto"/>
            <w:vAlign w:val="center"/>
          </w:tcPr>
          <w:p w14:paraId="2EC6A7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2025年规划目标</w:t>
            </w:r>
          </w:p>
        </w:tc>
        <w:tc>
          <w:tcPr>
            <w:tcW w:w="826" w:type="dxa"/>
            <w:vMerge w:val="restart"/>
            <w:shd w:val="clear" w:color="auto" w:fill="auto"/>
            <w:vAlign w:val="center"/>
          </w:tcPr>
          <w:p w14:paraId="22958E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指标</w:t>
            </w:r>
          </w:p>
          <w:p w14:paraId="1BAD61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属性</w:t>
            </w:r>
          </w:p>
        </w:tc>
      </w:tr>
      <w:tr w14:paraId="31B7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494" w:type="dxa"/>
            <w:vMerge w:val="continue"/>
            <w:shd w:val="clear" w:color="auto" w:fill="auto"/>
            <w:noWrap/>
            <w:vAlign w:val="center"/>
          </w:tcPr>
          <w:p w14:paraId="0537D9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c>
          <w:tcPr>
            <w:tcW w:w="1950" w:type="dxa"/>
            <w:gridSpan w:val="2"/>
            <w:vMerge w:val="continue"/>
            <w:shd w:val="clear" w:color="auto" w:fill="auto"/>
            <w:vAlign w:val="center"/>
          </w:tcPr>
          <w:p w14:paraId="54A46A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p>
        </w:tc>
        <w:tc>
          <w:tcPr>
            <w:tcW w:w="831" w:type="dxa"/>
            <w:vMerge w:val="continue"/>
            <w:shd w:val="clear" w:color="auto" w:fill="auto"/>
            <w:vAlign w:val="center"/>
          </w:tcPr>
          <w:p w14:paraId="3012DE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c>
          <w:tcPr>
            <w:tcW w:w="773" w:type="dxa"/>
            <w:shd w:val="clear" w:color="auto" w:fill="auto"/>
            <w:vAlign w:val="center"/>
          </w:tcPr>
          <w:p w14:paraId="1842C7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绝对值</w:t>
            </w:r>
          </w:p>
        </w:tc>
        <w:tc>
          <w:tcPr>
            <w:tcW w:w="738" w:type="dxa"/>
            <w:shd w:val="clear" w:color="auto" w:fill="auto"/>
            <w:noWrap/>
            <w:vAlign w:val="center"/>
          </w:tcPr>
          <w:p w14:paraId="026123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力争值</w:t>
            </w:r>
          </w:p>
        </w:tc>
        <w:tc>
          <w:tcPr>
            <w:tcW w:w="693" w:type="dxa"/>
            <w:shd w:val="clear" w:color="auto" w:fill="auto"/>
            <w:vAlign w:val="center"/>
          </w:tcPr>
          <w:p w14:paraId="607B47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年均增长（%）</w:t>
            </w:r>
          </w:p>
        </w:tc>
        <w:tc>
          <w:tcPr>
            <w:tcW w:w="692" w:type="dxa"/>
            <w:shd w:val="clear" w:color="auto" w:fill="auto"/>
            <w:vAlign w:val="center"/>
          </w:tcPr>
          <w:p w14:paraId="7EEF52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力争年均增长（%）</w:t>
            </w:r>
          </w:p>
        </w:tc>
        <w:tc>
          <w:tcPr>
            <w:tcW w:w="826" w:type="dxa"/>
            <w:vMerge w:val="continue"/>
            <w:shd w:val="clear" w:color="auto" w:fill="auto"/>
            <w:vAlign w:val="center"/>
          </w:tcPr>
          <w:p w14:paraId="5CF24C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r>
      <w:tr w14:paraId="51D9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494" w:type="dxa"/>
            <w:shd w:val="clear" w:color="auto" w:fill="auto"/>
            <w:noWrap/>
            <w:vAlign w:val="center"/>
          </w:tcPr>
          <w:p w14:paraId="6B4EA1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950" w:type="dxa"/>
            <w:gridSpan w:val="2"/>
            <w:shd w:val="clear" w:color="auto" w:fill="auto"/>
            <w:vAlign w:val="center"/>
          </w:tcPr>
          <w:p w14:paraId="712E62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5岁以下儿童死亡率（‰）</w:t>
            </w:r>
          </w:p>
        </w:tc>
        <w:tc>
          <w:tcPr>
            <w:tcW w:w="831" w:type="dxa"/>
            <w:shd w:val="clear" w:color="auto" w:fill="auto"/>
            <w:vAlign w:val="center"/>
          </w:tcPr>
          <w:p w14:paraId="6AB42C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5.21</w:t>
            </w:r>
          </w:p>
        </w:tc>
        <w:tc>
          <w:tcPr>
            <w:tcW w:w="773" w:type="dxa"/>
            <w:shd w:val="clear" w:color="auto" w:fill="auto"/>
            <w:vAlign w:val="center"/>
          </w:tcPr>
          <w:p w14:paraId="4353A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738" w:type="dxa"/>
            <w:shd w:val="clear" w:color="auto" w:fill="auto"/>
            <w:noWrap/>
            <w:vAlign w:val="center"/>
          </w:tcPr>
          <w:p w14:paraId="6458F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8.5</w:t>
            </w:r>
          </w:p>
        </w:tc>
        <w:tc>
          <w:tcPr>
            <w:tcW w:w="693" w:type="dxa"/>
            <w:shd w:val="clear" w:color="auto" w:fill="auto"/>
            <w:vAlign w:val="center"/>
          </w:tcPr>
          <w:p w14:paraId="726309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217562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1E70D3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768D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494" w:type="dxa"/>
            <w:shd w:val="clear" w:color="auto" w:fill="auto"/>
            <w:noWrap/>
            <w:vAlign w:val="center"/>
          </w:tcPr>
          <w:p w14:paraId="4B4CC6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950" w:type="dxa"/>
            <w:gridSpan w:val="2"/>
            <w:shd w:val="clear" w:color="auto" w:fill="auto"/>
            <w:vAlign w:val="center"/>
          </w:tcPr>
          <w:p w14:paraId="177109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万人人才资源数（人）</w:t>
            </w:r>
          </w:p>
        </w:tc>
        <w:tc>
          <w:tcPr>
            <w:tcW w:w="831" w:type="dxa"/>
            <w:shd w:val="clear" w:color="auto" w:fill="auto"/>
            <w:vAlign w:val="center"/>
          </w:tcPr>
          <w:p w14:paraId="0854E1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875</w:t>
            </w:r>
          </w:p>
        </w:tc>
        <w:tc>
          <w:tcPr>
            <w:tcW w:w="773" w:type="dxa"/>
            <w:shd w:val="clear" w:color="auto" w:fill="auto"/>
            <w:vAlign w:val="center"/>
          </w:tcPr>
          <w:p w14:paraId="32A701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1071</w:t>
            </w:r>
          </w:p>
        </w:tc>
        <w:tc>
          <w:tcPr>
            <w:tcW w:w="738" w:type="dxa"/>
            <w:shd w:val="clear" w:color="auto" w:fill="auto"/>
            <w:noWrap/>
            <w:vAlign w:val="center"/>
          </w:tcPr>
          <w:p w14:paraId="2ECA33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1170</w:t>
            </w:r>
          </w:p>
        </w:tc>
        <w:tc>
          <w:tcPr>
            <w:tcW w:w="693" w:type="dxa"/>
            <w:shd w:val="clear" w:color="auto" w:fill="auto"/>
            <w:vAlign w:val="center"/>
          </w:tcPr>
          <w:p w14:paraId="3FFCA2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692" w:type="dxa"/>
            <w:shd w:val="clear" w:color="auto" w:fill="auto"/>
            <w:vAlign w:val="center"/>
          </w:tcPr>
          <w:p w14:paraId="738D5A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826" w:type="dxa"/>
            <w:shd w:val="clear" w:color="auto" w:fill="auto"/>
            <w:vAlign w:val="center"/>
          </w:tcPr>
          <w:p w14:paraId="2F6881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4759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494" w:type="dxa"/>
            <w:shd w:val="clear" w:color="auto" w:fill="auto"/>
            <w:noWrap/>
            <w:vAlign w:val="center"/>
          </w:tcPr>
          <w:p w14:paraId="4C9CC0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950" w:type="dxa"/>
            <w:gridSpan w:val="2"/>
            <w:shd w:val="clear" w:color="auto" w:fill="auto"/>
            <w:vAlign w:val="center"/>
          </w:tcPr>
          <w:p w14:paraId="4720A6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城乡基本社会保险</w:t>
            </w:r>
          </w:p>
          <w:p w14:paraId="51C9A7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覆盖率（%）</w:t>
            </w:r>
          </w:p>
        </w:tc>
        <w:tc>
          <w:tcPr>
            <w:tcW w:w="831" w:type="dxa"/>
            <w:shd w:val="clear" w:color="auto" w:fill="auto"/>
            <w:vAlign w:val="center"/>
          </w:tcPr>
          <w:p w14:paraId="48BBEB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90</w:t>
            </w:r>
          </w:p>
        </w:tc>
        <w:tc>
          <w:tcPr>
            <w:tcW w:w="773" w:type="dxa"/>
            <w:shd w:val="clear" w:color="auto" w:fill="auto"/>
            <w:vAlign w:val="center"/>
          </w:tcPr>
          <w:p w14:paraId="5CDAE7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90</w:t>
            </w:r>
          </w:p>
        </w:tc>
        <w:tc>
          <w:tcPr>
            <w:tcW w:w="738" w:type="dxa"/>
            <w:shd w:val="clear" w:color="auto" w:fill="auto"/>
            <w:noWrap/>
            <w:vAlign w:val="center"/>
          </w:tcPr>
          <w:p w14:paraId="3A469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93</w:t>
            </w:r>
          </w:p>
        </w:tc>
        <w:tc>
          <w:tcPr>
            <w:tcW w:w="693" w:type="dxa"/>
            <w:shd w:val="clear" w:color="auto" w:fill="auto"/>
            <w:vAlign w:val="center"/>
          </w:tcPr>
          <w:p w14:paraId="433CD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3A1751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3BE873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2DB3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2444" w:type="dxa"/>
            <w:gridSpan w:val="3"/>
            <w:shd w:val="clear" w:color="auto" w:fill="auto"/>
            <w:noWrap/>
            <w:vAlign w:val="center"/>
          </w:tcPr>
          <w:p w14:paraId="1BEEB483">
            <w:pPr>
              <w:widowControl/>
              <w:tabs>
                <w:tab w:val="center" w:pos="1725"/>
                <w:tab w:val="right" w:pos="2525"/>
              </w:tabs>
              <w:ind w:firstLine="402" w:firstLineChars="200"/>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ab/>
            </w:r>
            <w:r>
              <w:rPr>
                <w:rFonts w:hint="eastAsia" w:ascii="宋体" w:hAnsi="宋体" w:eastAsia="宋体" w:cs="宋体"/>
                <w:b/>
                <w:bCs/>
                <w:kern w:val="0"/>
                <w:sz w:val="20"/>
                <w:szCs w:val="20"/>
              </w:rPr>
              <w:t>三、生态环境</w:t>
            </w:r>
            <w:r>
              <w:rPr>
                <w:rFonts w:hint="eastAsia" w:ascii="宋体" w:hAnsi="宋体" w:eastAsia="宋体" w:cs="宋体"/>
                <w:b/>
                <w:bCs/>
                <w:kern w:val="0"/>
                <w:sz w:val="20"/>
                <w:szCs w:val="20"/>
              </w:rPr>
              <w:tab/>
            </w:r>
          </w:p>
        </w:tc>
        <w:tc>
          <w:tcPr>
            <w:tcW w:w="831" w:type="dxa"/>
            <w:shd w:val="clear" w:color="auto" w:fill="auto"/>
            <w:vAlign w:val="center"/>
          </w:tcPr>
          <w:p w14:paraId="0D131A2C">
            <w:pPr>
              <w:widowControl/>
              <w:jc w:val="center"/>
              <w:rPr>
                <w:rFonts w:hint="eastAsia" w:ascii="宋体" w:hAnsi="宋体" w:eastAsia="宋体" w:cs="宋体"/>
                <w:kern w:val="0"/>
                <w:sz w:val="20"/>
                <w:szCs w:val="20"/>
              </w:rPr>
            </w:pPr>
          </w:p>
        </w:tc>
        <w:tc>
          <w:tcPr>
            <w:tcW w:w="773" w:type="dxa"/>
            <w:shd w:val="clear" w:color="auto" w:fill="auto"/>
            <w:vAlign w:val="center"/>
          </w:tcPr>
          <w:p w14:paraId="286CD08C">
            <w:pPr>
              <w:widowControl/>
              <w:jc w:val="center"/>
              <w:rPr>
                <w:rFonts w:hint="eastAsia" w:ascii="宋体" w:hAnsi="宋体" w:eastAsia="宋体" w:cs="宋体"/>
                <w:kern w:val="0"/>
                <w:sz w:val="20"/>
                <w:szCs w:val="20"/>
              </w:rPr>
            </w:pPr>
          </w:p>
        </w:tc>
        <w:tc>
          <w:tcPr>
            <w:tcW w:w="738" w:type="dxa"/>
            <w:shd w:val="clear" w:color="auto" w:fill="auto"/>
            <w:noWrap/>
            <w:vAlign w:val="center"/>
          </w:tcPr>
          <w:p w14:paraId="1ABD17F8">
            <w:pPr>
              <w:widowControl/>
              <w:ind w:firstLine="400" w:firstLineChars="200"/>
              <w:jc w:val="center"/>
              <w:rPr>
                <w:rFonts w:hint="eastAsia" w:ascii="宋体" w:hAnsi="宋体" w:eastAsia="宋体" w:cs="宋体"/>
                <w:kern w:val="0"/>
                <w:sz w:val="20"/>
                <w:szCs w:val="20"/>
              </w:rPr>
            </w:pPr>
          </w:p>
        </w:tc>
        <w:tc>
          <w:tcPr>
            <w:tcW w:w="693" w:type="dxa"/>
            <w:shd w:val="clear" w:color="auto" w:fill="auto"/>
            <w:vAlign w:val="center"/>
          </w:tcPr>
          <w:p w14:paraId="61C6B0A2">
            <w:pPr>
              <w:widowControl/>
              <w:jc w:val="center"/>
              <w:rPr>
                <w:rFonts w:hint="eastAsia" w:ascii="宋体" w:hAnsi="宋体" w:eastAsia="宋体" w:cs="宋体"/>
                <w:kern w:val="0"/>
                <w:sz w:val="20"/>
                <w:szCs w:val="20"/>
              </w:rPr>
            </w:pPr>
          </w:p>
        </w:tc>
        <w:tc>
          <w:tcPr>
            <w:tcW w:w="692" w:type="dxa"/>
            <w:shd w:val="clear" w:color="auto" w:fill="auto"/>
            <w:vAlign w:val="center"/>
          </w:tcPr>
          <w:p w14:paraId="5CAA7871">
            <w:pPr>
              <w:widowControl/>
              <w:jc w:val="center"/>
              <w:rPr>
                <w:rFonts w:hint="eastAsia" w:ascii="宋体" w:hAnsi="宋体" w:eastAsia="宋体" w:cs="宋体"/>
                <w:kern w:val="0"/>
                <w:sz w:val="20"/>
                <w:szCs w:val="20"/>
              </w:rPr>
            </w:pPr>
          </w:p>
        </w:tc>
        <w:tc>
          <w:tcPr>
            <w:tcW w:w="826" w:type="dxa"/>
            <w:shd w:val="clear" w:color="auto" w:fill="auto"/>
            <w:vAlign w:val="center"/>
          </w:tcPr>
          <w:p w14:paraId="0DBBC891">
            <w:pPr>
              <w:widowControl/>
              <w:jc w:val="center"/>
              <w:rPr>
                <w:rFonts w:hint="eastAsia" w:ascii="宋体" w:hAnsi="宋体" w:eastAsia="宋体" w:cs="宋体"/>
                <w:kern w:val="0"/>
                <w:sz w:val="20"/>
                <w:szCs w:val="20"/>
              </w:rPr>
            </w:pPr>
          </w:p>
        </w:tc>
      </w:tr>
      <w:tr w14:paraId="20A2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494" w:type="dxa"/>
            <w:shd w:val="clear" w:color="auto" w:fill="auto"/>
            <w:noWrap/>
            <w:vAlign w:val="center"/>
          </w:tcPr>
          <w:p w14:paraId="60F007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50" w:type="dxa"/>
            <w:gridSpan w:val="2"/>
            <w:shd w:val="clear" w:color="auto" w:fill="auto"/>
            <w:vAlign w:val="center"/>
          </w:tcPr>
          <w:p w14:paraId="6503AD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森林覆盖率（%）</w:t>
            </w:r>
          </w:p>
        </w:tc>
        <w:tc>
          <w:tcPr>
            <w:tcW w:w="831" w:type="dxa"/>
            <w:shd w:val="clear" w:color="auto" w:fill="auto"/>
            <w:vAlign w:val="center"/>
          </w:tcPr>
          <w:p w14:paraId="2660D9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59.29</w:t>
            </w:r>
          </w:p>
        </w:tc>
        <w:tc>
          <w:tcPr>
            <w:tcW w:w="773" w:type="dxa"/>
            <w:shd w:val="clear" w:color="auto" w:fill="auto"/>
            <w:vAlign w:val="center"/>
          </w:tcPr>
          <w:p w14:paraId="0111170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738" w:type="dxa"/>
            <w:shd w:val="clear" w:color="auto" w:fill="auto"/>
            <w:vAlign w:val="center"/>
          </w:tcPr>
          <w:p w14:paraId="0EE4DA7A">
            <w:pPr>
              <w:widowControl/>
              <w:ind w:firstLine="400" w:firstLineChars="200"/>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32554B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57982C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0EF1BC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3138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494" w:type="dxa"/>
            <w:shd w:val="clear" w:color="auto" w:fill="auto"/>
            <w:noWrap/>
            <w:vAlign w:val="center"/>
          </w:tcPr>
          <w:p w14:paraId="73362A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950" w:type="dxa"/>
            <w:gridSpan w:val="2"/>
            <w:shd w:val="clear" w:color="auto" w:fill="auto"/>
            <w:vAlign w:val="center"/>
          </w:tcPr>
          <w:p w14:paraId="250477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耕地保有量（</w:t>
            </w:r>
            <w:r>
              <w:rPr>
                <w:rFonts w:hint="eastAsia" w:ascii="宋体" w:hAnsi="宋体" w:cs="宋体"/>
                <w:kern w:val="0"/>
                <w:sz w:val="20"/>
                <w:szCs w:val="20"/>
                <w:lang w:eastAsia="zh-CN"/>
              </w:rPr>
              <w:t>公顷</w:t>
            </w:r>
            <w:r>
              <w:rPr>
                <w:rFonts w:hint="eastAsia" w:ascii="宋体" w:hAnsi="宋体" w:eastAsia="宋体" w:cs="宋体"/>
                <w:kern w:val="0"/>
                <w:sz w:val="20"/>
                <w:szCs w:val="20"/>
              </w:rPr>
              <w:t>）</w:t>
            </w:r>
          </w:p>
        </w:tc>
        <w:tc>
          <w:tcPr>
            <w:tcW w:w="3727" w:type="dxa"/>
            <w:gridSpan w:val="5"/>
            <w:vMerge w:val="restart"/>
            <w:shd w:val="clear" w:color="auto" w:fill="auto"/>
            <w:vAlign w:val="center"/>
          </w:tcPr>
          <w:p w14:paraId="7C7958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以国家下达任务为准</w:t>
            </w:r>
          </w:p>
        </w:tc>
        <w:tc>
          <w:tcPr>
            <w:tcW w:w="826" w:type="dxa"/>
            <w:vMerge w:val="restart"/>
            <w:shd w:val="clear" w:color="auto" w:fill="auto"/>
            <w:vAlign w:val="center"/>
          </w:tcPr>
          <w:p w14:paraId="1C26F5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46A8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494" w:type="dxa"/>
            <w:shd w:val="clear" w:color="auto" w:fill="auto"/>
            <w:noWrap/>
            <w:vAlign w:val="center"/>
          </w:tcPr>
          <w:p w14:paraId="6FF297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950" w:type="dxa"/>
            <w:gridSpan w:val="2"/>
            <w:shd w:val="clear" w:color="auto" w:fill="auto"/>
            <w:vAlign w:val="center"/>
          </w:tcPr>
          <w:p w14:paraId="436136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基本农田面积</w:t>
            </w:r>
          </w:p>
          <w:p w14:paraId="465E32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lang w:eastAsia="zh-CN"/>
              </w:rPr>
              <w:t>公顷</w:t>
            </w:r>
            <w:r>
              <w:rPr>
                <w:rFonts w:hint="eastAsia" w:ascii="宋体" w:hAnsi="宋体" w:eastAsia="宋体" w:cs="宋体"/>
                <w:kern w:val="0"/>
                <w:sz w:val="20"/>
                <w:szCs w:val="20"/>
              </w:rPr>
              <w:t>）</w:t>
            </w:r>
          </w:p>
        </w:tc>
        <w:tc>
          <w:tcPr>
            <w:tcW w:w="3727" w:type="dxa"/>
            <w:gridSpan w:val="5"/>
            <w:vMerge w:val="continue"/>
            <w:shd w:val="clear" w:color="auto" w:fill="auto"/>
            <w:vAlign w:val="center"/>
          </w:tcPr>
          <w:p w14:paraId="408DFB65">
            <w:pPr>
              <w:widowControl/>
              <w:jc w:val="center"/>
              <w:rPr>
                <w:rFonts w:hint="eastAsia" w:ascii="宋体" w:hAnsi="宋体" w:eastAsia="宋体" w:cs="宋体"/>
                <w:kern w:val="0"/>
                <w:sz w:val="20"/>
                <w:szCs w:val="20"/>
              </w:rPr>
            </w:pPr>
          </w:p>
        </w:tc>
        <w:tc>
          <w:tcPr>
            <w:tcW w:w="826" w:type="dxa"/>
            <w:vMerge w:val="continue"/>
            <w:shd w:val="clear" w:color="auto" w:fill="auto"/>
            <w:vAlign w:val="center"/>
          </w:tcPr>
          <w:p w14:paraId="26DCFB92">
            <w:pPr>
              <w:widowControl/>
              <w:jc w:val="center"/>
              <w:rPr>
                <w:rFonts w:hint="eastAsia" w:ascii="宋体" w:hAnsi="宋体" w:eastAsia="宋体" w:cs="宋体"/>
                <w:kern w:val="0"/>
                <w:sz w:val="20"/>
                <w:szCs w:val="20"/>
              </w:rPr>
            </w:pPr>
          </w:p>
        </w:tc>
      </w:tr>
      <w:tr w14:paraId="290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494" w:type="dxa"/>
            <w:vMerge w:val="restart"/>
            <w:shd w:val="clear" w:color="auto" w:fill="auto"/>
            <w:vAlign w:val="center"/>
          </w:tcPr>
          <w:p w14:paraId="192A92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749" w:type="dxa"/>
            <w:vMerge w:val="restart"/>
            <w:shd w:val="clear" w:color="auto" w:fill="auto"/>
            <w:vAlign w:val="center"/>
          </w:tcPr>
          <w:p w14:paraId="3C4077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主要化学污染排放量</w:t>
            </w:r>
          </w:p>
        </w:tc>
        <w:tc>
          <w:tcPr>
            <w:tcW w:w="1201" w:type="dxa"/>
            <w:shd w:val="clear" w:color="auto" w:fill="auto"/>
            <w:vAlign w:val="center"/>
          </w:tcPr>
          <w:p w14:paraId="2E0EDC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化学需氧</w:t>
            </w:r>
          </w:p>
          <w:p w14:paraId="2814C2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量排放量</w:t>
            </w:r>
          </w:p>
          <w:p w14:paraId="00F5D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（万吨）</w:t>
            </w:r>
          </w:p>
        </w:tc>
        <w:tc>
          <w:tcPr>
            <w:tcW w:w="3727" w:type="dxa"/>
            <w:gridSpan w:val="5"/>
            <w:vMerge w:val="restart"/>
            <w:shd w:val="clear" w:color="auto" w:fill="auto"/>
            <w:vAlign w:val="center"/>
          </w:tcPr>
          <w:p w14:paraId="2F5BD3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控制在国家、省、市规定的目标范围内</w:t>
            </w:r>
          </w:p>
        </w:tc>
        <w:tc>
          <w:tcPr>
            <w:tcW w:w="826" w:type="dxa"/>
            <w:shd w:val="clear" w:color="auto" w:fill="auto"/>
            <w:vAlign w:val="center"/>
          </w:tcPr>
          <w:p w14:paraId="3DC07A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0F22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494" w:type="dxa"/>
            <w:vMerge w:val="continue"/>
            <w:vAlign w:val="center"/>
          </w:tcPr>
          <w:p w14:paraId="67550CA5">
            <w:pPr>
              <w:widowControl/>
              <w:jc w:val="center"/>
              <w:rPr>
                <w:rFonts w:hint="eastAsia" w:ascii="宋体" w:hAnsi="宋体" w:eastAsia="宋体" w:cs="宋体"/>
                <w:kern w:val="0"/>
                <w:sz w:val="20"/>
                <w:szCs w:val="20"/>
              </w:rPr>
            </w:pPr>
          </w:p>
        </w:tc>
        <w:tc>
          <w:tcPr>
            <w:tcW w:w="749" w:type="dxa"/>
            <w:vMerge w:val="continue"/>
            <w:vAlign w:val="center"/>
          </w:tcPr>
          <w:p w14:paraId="034179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c>
          <w:tcPr>
            <w:tcW w:w="1201" w:type="dxa"/>
            <w:vAlign w:val="center"/>
          </w:tcPr>
          <w:p w14:paraId="798E4B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二氧化硫</w:t>
            </w:r>
          </w:p>
          <w:p w14:paraId="4F58AE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（万吨）</w:t>
            </w:r>
          </w:p>
        </w:tc>
        <w:tc>
          <w:tcPr>
            <w:tcW w:w="3727" w:type="dxa"/>
            <w:gridSpan w:val="5"/>
            <w:vMerge w:val="continue"/>
            <w:shd w:val="clear" w:color="auto" w:fill="auto"/>
            <w:vAlign w:val="center"/>
          </w:tcPr>
          <w:p w14:paraId="407B543C">
            <w:pPr>
              <w:widowControl/>
              <w:jc w:val="center"/>
              <w:rPr>
                <w:rFonts w:hint="eastAsia" w:ascii="宋体" w:hAnsi="宋体" w:eastAsia="宋体" w:cs="宋体"/>
                <w:kern w:val="0"/>
                <w:sz w:val="20"/>
                <w:szCs w:val="20"/>
              </w:rPr>
            </w:pPr>
          </w:p>
        </w:tc>
        <w:tc>
          <w:tcPr>
            <w:tcW w:w="826" w:type="dxa"/>
            <w:shd w:val="clear" w:color="auto" w:fill="auto"/>
            <w:vAlign w:val="center"/>
          </w:tcPr>
          <w:p w14:paraId="481925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3372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494" w:type="dxa"/>
            <w:vMerge w:val="continue"/>
            <w:vAlign w:val="center"/>
          </w:tcPr>
          <w:p w14:paraId="086C82FF">
            <w:pPr>
              <w:widowControl/>
              <w:jc w:val="center"/>
              <w:rPr>
                <w:rFonts w:hint="eastAsia" w:ascii="宋体" w:hAnsi="宋体" w:eastAsia="宋体" w:cs="宋体"/>
                <w:kern w:val="0"/>
                <w:sz w:val="20"/>
                <w:szCs w:val="20"/>
              </w:rPr>
            </w:pPr>
          </w:p>
        </w:tc>
        <w:tc>
          <w:tcPr>
            <w:tcW w:w="749" w:type="dxa"/>
            <w:vMerge w:val="continue"/>
            <w:vAlign w:val="center"/>
          </w:tcPr>
          <w:p w14:paraId="13EFD6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c>
          <w:tcPr>
            <w:tcW w:w="1201" w:type="dxa"/>
            <w:vAlign w:val="center"/>
          </w:tcPr>
          <w:p w14:paraId="4E2BE9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氨氮排放</w:t>
            </w:r>
          </w:p>
          <w:p w14:paraId="59A817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总量（万吨）</w:t>
            </w:r>
          </w:p>
        </w:tc>
        <w:tc>
          <w:tcPr>
            <w:tcW w:w="3727" w:type="dxa"/>
            <w:gridSpan w:val="5"/>
            <w:vMerge w:val="continue"/>
            <w:shd w:val="clear" w:color="auto" w:fill="auto"/>
            <w:vAlign w:val="center"/>
          </w:tcPr>
          <w:p w14:paraId="13FD96A3">
            <w:pPr>
              <w:widowControl/>
              <w:jc w:val="center"/>
              <w:rPr>
                <w:rFonts w:hint="eastAsia" w:ascii="宋体" w:hAnsi="宋体" w:eastAsia="宋体" w:cs="宋体"/>
                <w:kern w:val="0"/>
                <w:sz w:val="20"/>
                <w:szCs w:val="20"/>
              </w:rPr>
            </w:pPr>
          </w:p>
        </w:tc>
        <w:tc>
          <w:tcPr>
            <w:tcW w:w="826" w:type="dxa"/>
            <w:shd w:val="clear" w:color="auto" w:fill="auto"/>
            <w:vAlign w:val="center"/>
          </w:tcPr>
          <w:p w14:paraId="70F886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6E31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dxa"/>
            <w:vMerge w:val="continue"/>
            <w:vAlign w:val="center"/>
          </w:tcPr>
          <w:p w14:paraId="0430FFC7">
            <w:pPr>
              <w:widowControl/>
              <w:jc w:val="center"/>
              <w:rPr>
                <w:rFonts w:hint="eastAsia" w:ascii="宋体" w:hAnsi="宋体" w:eastAsia="宋体" w:cs="宋体"/>
                <w:kern w:val="0"/>
                <w:sz w:val="20"/>
                <w:szCs w:val="20"/>
              </w:rPr>
            </w:pPr>
          </w:p>
        </w:tc>
        <w:tc>
          <w:tcPr>
            <w:tcW w:w="749" w:type="dxa"/>
            <w:vMerge w:val="continue"/>
            <w:vAlign w:val="center"/>
          </w:tcPr>
          <w:p w14:paraId="1C4345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c>
          <w:tcPr>
            <w:tcW w:w="1201" w:type="dxa"/>
            <w:vAlign w:val="center"/>
          </w:tcPr>
          <w:p w14:paraId="4543A4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11"/>
                <w:kern w:val="0"/>
                <w:sz w:val="20"/>
                <w:szCs w:val="20"/>
              </w:rPr>
            </w:pPr>
            <w:r>
              <w:rPr>
                <w:rFonts w:hint="eastAsia" w:ascii="宋体" w:hAnsi="宋体" w:eastAsia="宋体" w:cs="宋体"/>
                <w:spacing w:val="-11"/>
                <w:kern w:val="0"/>
                <w:sz w:val="20"/>
                <w:szCs w:val="20"/>
              </w:rPr>
              <w:t>氮氧化物排放量（万吨）</w:t>
            </w:r>
          </w:p>
        </w:tc>
        <w:tc>
          <w:tcPr>
            <w:tcW w:w="3727" w:type="dxa"/>
            <w:gridSpan w:val="5"/>
            <w:vMerge w:val="continue"/>
            <w:shd w:val="clear" w:color="auto" w:fill="auto"/>
            <w:vAlign w:val="center"/>
          </w:tcPr>
          <w:p w14:paraId="78E2A45C">
            <w:pPr>
              <w:widowControl/>
              <w:jc w:val="center"/>
              <w:rPr>
                <w:rFonts w:hint="eastAsia" w:ascii="宋体" w:hAnsi="宋体" w:eastAsia="宋体" w:cs="宋体"/>
                <w:kern w:val="0"/>
                <w:sz w:val="20"/>
                <w:szCs w:val="20"/>
              </w:rPr>
            </w:pPr>
          </w:p>
        </w:tc>
        <w:tc>
          <w:tcPr>
            <w:tcW w:w="826" w:type="dxa"/>
            <w:shd w:val="clear" w:color="auto" w:fill="auto"/>
            <w:vAlign w:val="center"/>
          </w:tcPr>
          <w:p w14:paraId="1E9987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208B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94" w:type="dxa"/>
            <w:shd w:val="clear" w:color="auto" w:fill="auto"/>
            <w:noWrap/>
            <w:vAlign w:val="center"/>
          </w:tcPr>
          <w:p w14:paraId="3B346A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950" w:type="dxa"/>
            <w:gridSpan w:val="2"/>
            <w:shd w:val="clear" w:color="auto" w:fill="auto"/>
            <w:vAlign w:val="center"/>
          </w:tcPr>
          <w:p w14:paraId="299050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城乡生活垃圾</w:t>
            </w:r>
          </w:p>
          <w:p w14:paraId="2FCA23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无害化处理率（%）</w:t>
            </w:r>
          </w:p>
        </w:tc>
        <w:tc>
          <w:tcPr>
            <w:tcW w:w="831" w:type="dxa"/>
            <w:shd w:val="clear" w:color="auto" w:fill="auto"/>
            <w:vAlign w:val="center"/>
          </w:tcPr>
          <w:p w14:paraId="646D9F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85</w:t>
            </w:r>
          </w:p>
        </w:tc>
        <w:tc>
          <w:tcPr>
            <w:tcW w:w="773" w:type="dxa"/>
            <w:shd w:val="clear" w:color="auto" w:fill="auto"/>
            <w:vAlign w:val="center"/>
          </w:tcPr>
          <w:p w14:paraId="6E47B1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90</w:t>
            </w:r>
          </w:p>
        </w:tc>
        <w:tc>
          <w:tcPr>
            <w:tcW w:w="738" w:type="dxa"/>
            <w:shd w:val="clear" w:color="auto" w:fill="auto"/>
            <w:vAlign w:val="center"/>
          </w:tcPr>
          <w:p w14:paraId="1F01C99E">
            <w:pPr>
              <w:widowControl/>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2AB886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7993C1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5A7A82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0F6E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494" w:type="dxa"/>
            <w:shd w:val="clear" w:color="auto" w:fill="auto"/>
            <w:noWrap/>
            <w:vAlign w:val="center"/>
          </w:tcPr>
          <w:p w14:paraId="1958CE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950" w:type="dxa"/>
            <w:gridSpan w:val="2"/>
            <w:shd w:val="clear" w:color="auto" w:fill="auto"/>
            <w:noWrap/>
            <w:vAlign w:val="center"/>
          </w:tcPr>
          <w:p w14:paraId="228A0A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城镇污水处理率（%）</w:t>
            </w:r>
          </w:p>
        </w:tc>
        <w:tc>
          <w:tcPr>
            <w:tcW w:w="831" w:type="dxa"/>
            <w:shd w:val="clear" w:color="auto" w:fill="auto"/>
            <w:vAlign w:val="center"/>
          </w:tcPr>
          <w:p w14:paraId="5F2457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92.5</w:t>
            </w:r>
          </w:p>
        </w:tc>
        <w:tc>
          <w:tcPr>
            <w:tcW w:w="773" w:type="dxa"/>
            <w:shd w:val="clear" w:color="auto" w:fill="auto"/>
            <w:vAlign w:val="center"/>
          </w:tcPr>
          <w:p w14:paraId="00891E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738" w:type="dxa"/>
            <w:shd w:val="clear" w:color="auto" w:fill="auto"/>
            <w:vAlign w:val="center"/>
          </w:tcPr>
          <w:p w14:paraId="7A141D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3F1B03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293DBD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5E9111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2BFD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494" w:type="dxa"/>
            <w:shd w:val="clear" w:color="auto" w:fill="auto"/>
            <w:noWrap/>
            <w:vAlign w:val="center"/>
          </w:tcPr>
          <w:p w14:paraId="0A8831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950" w:type="dxa"/>
            <w:gridSpan w:val="2"/>
            <w:shd w:val="clear" w:color="auto" w:fill="auto"/>
            <w:noWrap/>
            <w:vAlign w:val="center"/>
          </w:tcPr>
          <w:p w14:paraId="1AF919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县城环境空气质量优良率（%）</w:t>
            </w:r>
          </w:p>
        </w:tc>
        <w:tc>
          <w:tcPr>
            <w:tcW w:w="831" w:type="dxa"/>
            <w:shd w:val="clear" w:color="auto" w:fill="auto"/>
            <w:vAlign w:val="center"/>
          </w:tcPr>
          <w:p w14:paraId="78E012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773" w:type="dxa"/>
            <w:shd w:val="clear" w:color="auto" w:fill="auto"/>
            <w:vAlign w:val="center"/>
          </w:tcPr>
          <w:p w14:paraId="7883D2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＞97</w:t>
            </w:r>
          </w:p>
        </w:tc>
        <w:tc>
          <w:tcPr>
            <w:tcW w:w="738" w:type="dxa"/>
            <w:shd w:val="clear" w:color="auto" w:fill="auto"/>
            <w:vAlign w:val="center"/>
          </w:tcPr>
          <w:p w14:paraId="765C47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095707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0604F2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474FD9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1029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494" w:type="dxa"/>
            <w:vMerge w:val="restart"/>
            <w:shd w:val="clear" w:color="auto" w:fill="auto"/>
            <w:noWrap/>
            <w:vAlign w:val="center"/>
          </w:tcPr>
          <w:p w14:paraId="032C8B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950" w:type="dxa"/>
            <w:gridSpan w:val="2"/>
            <w:vMerge w:val="restart"/>
            <w:shd w:val="clear" w:color="auto" w:fill="auto"/>
            <w:noWrap/>
            <w:vAlign w:val="center"/>
          </w:tcPr>
          <w:p w14:paraId="4C3324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 xml:space="preserve">指标 </w:t>
            </w:r>
          </w:p>
        </w:tc>
        <w:tc>
          <w:tcPr>
            <w:tcW w:w="831" w:type="dxa"/>
            <w:vMerge w:val="restart"/>
            <w:shd w:val="clear" w:color="auto" w:fill="auto"/>
            <w:vAlign w:val="center"/>
          </w:tcPr>
          <w:p w14:paraId="4C9953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2020年预算计划完成数</w:t>
            </w:r>
          </w:p>
        </w:tc>
        <w:tc>
          <w:tcPr>
            <w:tcW w:w="2896" w:type="dxa"/>
            <w:gridSpan w:val="4"/>
            <w:shd w:val="clear" w:color="auto" w:fill="auto"/>
            <w:vAlign w:val="center"/>
          </w:tcPr>
          <w:p w14:paraId="411971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2025年规划目标</w:t>
            </w:r>
          </w:p>
        </w:tc>
        <w:tc>
          <w:tcPr>
            <w:tcW w:w="826" w:type="dxa"/>
            <w:vMerge w:val="restart"/>
            <w:shd w:val="clear" w:color="auto" w:fill="auto"/>
            <w:vAlign w:val="center"/>
          </w:tcPr>
          <w:p w14:paraId="7230E9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指标</w:t>
            </w:r>
          </w:p>
          <w:p w14:paraId="691E57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属性</w:t>
            </w:r>
          </w:p>
        </w:tc>
      </w:tr>
      <w:tr w14:paraId="1B0A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494" w:type="dxa"/>
            <w:vMerge w:val="continue"/>
            <w:shd w:val="clear" w:color="auto" w:fill="auto"/>
            <w:noWrap/>
            <w:vAlign w:val="center"/>
          </w:tcPr>
          <w:p w14:paraId="5290DD91">
            <w:pPr>
              <w:widowControl/>
              <w:jc w:val="center"/>
              <w:rPr>
                <w:rFonts w:hint="eastAsia" w:ascii="宋体" w:hAnsi="宋体" w:eastAsia="宋体" w:cs="宋体"/>
                <w:kern w:val="0"/>
                <w:sz w:val="20"/>
                <w:szCs w:val="20"/>
              </w:rPr>
            </w:pPr>
          </w:p>
        </w:tc>
        <w:tc>
          <w:tcPr>
            <w:tcW w:w="1950" w:type="dxa"/>
            <w:gridSpan w:val="2"/>
            <w:vMerge w:val="continue"/>
            <w:shd w:val="clear" w:color="auto" w:fill="auto"/>
            <w:noWrap/>
            <w:vAlign w:val="center"/>
          </w:tcPr>
          <w:p w14:paraId="03C5F7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c>
          <w:tcPr>
            <w:tcW w:w="831" w:type="dxa"/>
            <w:vMerge w:val="continue"/>
            <w:shd w:val="clear" w:color="auto" w:fill="auto"/>
            <w:vAlign w:val="center"/>
          </w:tcPr>
          <w:p w14:paraId="2DA5B9E7">
            <w:pPr>
              <w:widowControl/>
              <w:jc w:val="center"/>
              <w:rPr>
                <w:rFonts w:hint="eastAsia" w:ascii="宋体" w:hAnsi="宋体" w:eastAsia="宋体" w:cs="宋体"/>
                <w:kern w:val="0"/>
                <w:sz w:val="20"/>
                <w:szCs w:val="20"/>
              </w:rPr>
            </w:pPr>
          </w:p>
        </w:tc>
        <w:tc>
          <w:tcPr>
            <w:tcW w:w="773" w:type="dxa"/>
            <w:shd w:val="clear" w:color="auto" w:fill="auto"/>
            <w:vAlign w:val="center"/>
          </w:tcPr>
          <w:p w14:paraId="782353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绝对值</w:t>
            </w:r>
          </w:p>
        </w:tc>
        <w:tc>
          <w:tcPr>
            <w:tcW w:w="738" w:type="dxa"/>
            <w:shd w:val="clear" w:color="auto" w:fill="auto"/>
            <w:vAlign w:val="center"/>
          </w:tcPr>
          <w:p w14:paraId="4BB6E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力争值</w:t>
            </w:r>
          </w:p>
        </w:tc>
        <w:tc>
          <w:tcPr>
            <w:tcW w:w="693" w:type="dxa"/>
            <w:shd w:val="clear" w:color="auto" w:fill="auto"/>
            <w:vAlign w:val="center"/>
          </w:tcPr>
          <w:p w14:paraId="17EB9C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年均增长（%）</w:t>
            </w:r>
          </w:p>
        </w:tc>
        <w:tc>
          <w:tcPr>
            <w:tcW w:w="692" w:type="dxa"/>
            <w:shd w:val="clear" w:color="auto" w:fill="auto"/>
            <w:vAlign w:val="center"/>
          </w:tcPr>
          <w:p w14:paraId="00935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力争年均增长（%）</w:t>
            </w:r>
          </w:p>
        </w:tc>
        <w:tc>
          <w:tcPr>
            <w:tcW w:w="826" w:type="dxa"/>
            <w:vMerge w:val="continue"/>
            <w:shd w:val="clear" w:color="auto" w:fill="auto"/>
            <w:vAlign w:val="center"/>
          </w:tcPr>
          <w:p w14:paraId="41759D19">
            <w:pPr>
              <w:widowControl/>
              <w:jc w:val="center"/>
              <w:rPr>
                <w:rFonts w:hint="eastAsia" w:ascii="宋体" w:hAnsi="宋体" w:eastAsia="宋体" w:cs="宋体"/>
                <w:kern w:val="0"/>
                <w:sz w:val="20"/>
                <w:szCs w:val="20"/>
              </w:rPr>
            </w:pPr>
          </w:p>
        </w:tc>
      </w:tr>
      <w:tr w14:paraId="20CB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494" w:type="dxa"/>
            <w:shd w:val="clear" w:color="auto" w:fill="auto"/>
            <w:noWrap/>
            <w:vAlign w:val="center"/>
          </w:tcPr>
          <w:p w14:paraId="4BA403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950" w:type="dxa"/>
            <w:gridSpan w:val="2"/>
            <w:shd w:val="clear" w:color="auto" w:fill="auto"/>
            <w:noWrap/>
            <w:vAlign w:val="center"/>
          </w:tcPr>
          <w:p w14:paraId="751032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县城集中式饮用</w:t>
            </w:r>
          </w:p>
          <w:p w14:paraId="1BD4B2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水源地水质达标率</w:t>
            </w:r>
          </w:p>
        </w:tc>
        <w:tc>
          <w:tcPr>
            <w:tcW w:w="831" w:type="dxa"/>
            <w:shd w:val="clear" w:color="auto" w:fill="auto"/>
            <w:vAlign w:val="center"/>
          </w:tcPr>
          <w:p w14:paraId="645A22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w:t>
            </w:r>
          </w:p>
        </w:tc>
        <w:tc>
          <w:tcPr>
            <w:tcW w:w="773" w:type="dxa"/>
            <w:shd w:val="clear" w:color="auto" w:fill="auto"/>
            <w:vAlign w:val="center"/>
          </w:tcPr>
          <w:p w14:paraId="6F344A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w:t>
            </w:r>
          </w:p>
        </w:tc>
        <w:tc>
          <w:tcPr>
            <w:tcW w:w="738" w:type="dxa"/>
            <w:shd w:val="clear" w:color="auto" w:fill="auto"/>
            <w:vAlign w:val="center"/>
          </w:tcPr>
          <w:p w14:paraId="571FFB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7C320E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54A6D7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3A5B05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2FA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2444" w:type="dxa"/>
            <w:gridSpan w:val="3"/>
            <w:shd w:val="clear" w:color="auto" w:fill="auto"/>
            <w:noWrap/>
            <w:vAlign w:val="center"/>
          </w:tcPr>
          <w:p w14:paraId="07853FB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四、基础设施</w:t>
            </w:r>
          </w:p>
        </w:tc>
        <w:tc>
          <w:tcPr>
            <w:tcW w:w="831" w:type="dxa"/>
            <w:shd w:val="clear" w:color="auto" w:fill="auto"/>
            <w:noWrap/>
            <w:vAlign w:val="center"/>
          </w:tcPr>
          <w:p w14:paraId="79DB02E7">
            <w:pPr>
              <w:widowControl/>
              <w:ind w:firstLine="402" w:firstLineChars="200"/>
              <w:jc w:val="left"/>
              <w:rPr>
                <w:rFonts w:hint="eastAsia" w:ascii="宋体" w:hAnsi="宋体" w:eastAsia="宋体" w:cs="宋体"/>
                <w:b/>
                <w:bCs/>
                <w:kern w:val="0"/>
                <w:sz w:val="20"/>
                <w:szCs w:val="20"/>
              </w:rPr>
            </w:pPr>
          </w:p>
        </w:tc>
        <w:tc>
          <w:tcPr>
            <w:tcW w:w="773" w:type="dxa"/>
            <w:shd w:val="clear" w:color="auto" w:fill="auto"/>
            <w:vAlign w:val="center"/>
          </w:tcPr>
          <w:p w14:paraId="51792B9A">
            <w:pPr>
              <w:widowControl/>
              <w:jc w:val="center"/>
              <w:rPr>
                <w:rFonts w:hint="eastAsia" w:ascii="宋体" w:hAnsi="宋体" w:eastAsia="宋体" w:cs="宋体"/>
                <w:kern w:val="0"/>
                <w:sz w:val="20"/>
                <w:szCs w:val="20"/>
              </w:rPr>
            </w:pPr>
          </w:p>
        </w:tc>
        <w:tc>
          <w:tcPr>
            <w:tcW w:w="738" w:type="dxa"/>
            <w:shd w:val="clear" w:color="auto" w:fill="auto"/>
            <w:vAlign w:val="center"/>
          </w:tcPr>
          <w:p w14:paraId="702ED2AC">
            <w:pPr>
              <w:widowControl/>
              <w:jc w:val="center"/>
              <w:rPr>
                <w:rFonts w:hint="eastAsia" w:ascii="宋体" w:hAnsi="宋体" w:eastAsia="宋体" w:cs="宋体"/>
                <w:kern w:val="0"/>
                <w:sz w:val="20"/>
                <w:szCs w:val="20"/>
              </w:rPr>
            </w:pPr>
          </w:p>
        </w:tc>
        <w:tc>
          <w:tcPr>
            <w:tcW w:w="693" w:type="dxa"/>
            <w:shd w:val="clear" w:color="auto" w:fill="auto"/>
            <w:vAlign w:val="center"/>
          </w:tcPr>
          <w:p w14:paraId="63E6CAAF">
            <w:pPr>
              <w:widowControl/>
              <w:jc w:val="center"/>
              <w:rPr>
                <w:rFonts w:hint="eastAsia" w:ascii="宋体" w:hAnsi="宋体" w:eastAsia="宋体" w:cs="宋体"/>
                <w:kern w:val="0"/>
                <w:sz w:val="20"/>
                <w:szCs w:val="20"/>
              </w:rPr>
            </w:pPr>
          </w:p>
        </w:tc>
        <w:tc>
          <w:tcPr>
            <w:tcW w:w="692" w:type="dxa"/>
            <w:shd w:val="clear" w:color="auto" w:fill="auto"/>
            <w:vAlign w:val="center"/>
          </w:tcPr>
          <w:p w14:paraId="630209C5">
            <w:pPr>
              <w:widowControl/>
              <w:jc w:val="center"/>
              <w:rPr>
                <w:rFonts w:hint="eastAsia" w:ascii="宋体" w:hAnsi="宋体" w:eastAsia="宋体" w:cs="宋体"/>
                <w:kern w:val="0"/>
                <w:sz w:val="20"/>
                <w:szCs w:val="20"/>
              </w:rPr>
            </w:pPr>
          </w:p>
        </w:tc>
        <w:tc>
          <w:tcPr>
            <w:tcW w:w="826" w:type="dxa"/>
            <w:shd w:val="clear" w:color="auto" w:fill="auto"/>
            <w:vAlign w:val="center"/>
          </w:tcPr>
          <w:p w14:paraId="4F2CCDCB">
            <w:pPr>
              <w:widowControl/>
              <w:jc w:val="center"/>
              <w:rPr>
                <w:rFonts w:hint="eastAsia" w:ascii="宋体" w:hAnsi="宋体" w:eastAsia="宋体" w:cs="宋体"/>
                <w:kern w:val="0"/>
                <w:sz w:val="20"/>
                <w:szCs w:val="20"/>
              </w:rPr>
            </w:pPr>
          </w:p>
        </w:tc>
      </w:tr>
      <w:tr w14:paraId="27C6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494" w:type="dxa"/>
            <w:shd w:val="clear" w:color="auto" w:fill="auto"/>
            <w:noWrap/>
            <w:vAlign w:val="center"/>
          </w:tcPr>
          <w:p w14:paraId="4BFD14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50" w:type="dxa"/>
            <w:gridSpan w:val="2"/>
            <w:shd w:val="clear" w:color="auto" w:fill="auto"/>
            <w:noWrap/>
            <w:vAlign w:val="center"/>
          </w:tcPr>
          <w:p w14:paraId="7E9ADD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铁路通车里程</w:t>
            </w:r>
          </w:p>
          <w:p w14:paraId="7D1792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（公里）</w:t>
            </w:r>
          </w:p>
        </w:tc>
        <w:tc>
          <w:tcPr>
            <w:tcW w:w="831" w:type="dxa"/>
            <w:shd w:val="clear" w:color="auto" w:fill="auto"/>
            <w:vAlign w:val="center"/>
          </w:tcPr>
          <w:p w14:paraId="5E440C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0</w:t>
            </w:r>
          </w:p>
        </w:tc>
        <w:tc>
          <w:tcPr>
            <w:tcW w:w="773" w:type="dxa"/>
            <w:shd w:val="clear" w:color="auto" w:fill="auto"/>
            <w:vAlign w:val="center"/>
          </w:tcPr>
          <w:p w14:paraId="459A86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108</w:t>
            </w:r>
          </w:p>
        </w:tc>
        <w:tc>
          <w:tcPr>
            <w:tcW w:w="738" w:type="dxa"/>
            <w:shd w:val="clear" w:color="auto" w:fill="auto"/>
            <w:vAlign w:val="center"/>
          </w:tcPr>
          <w:p w14:paraId="36C581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7AE275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305928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48BA99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55D6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94" w:type="dxa"/>
            <w:vMerge w:val="restart"/>
            <w:shd w:val="clear" w:color="auto" w:fill="auto"/>
            <w:noWrap/>
            <w:vAlign w:val="center"/>
          </w:tcPr>
          <w:p w14:paraId="111669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950" w:type="dxa"/>
            <w:gridSpan w:val="2"/>
            <w:shd w:val="clear" w:color="auto" w:fill="auto"/>
            <w:noWrap/>
            <w:vAlign w:val="center"/>
          </w:tcPr>
          <w:p w14:paraId="35DFC5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公路里程（公里）</w:t>
            </w:r>
          </w:p>
        </w:tc>
        <w:tc>
          <w:tcPr>
            <w:tcW w:w="831" w:type="dxa"/>
            <w:shd w:val="clear" w:color="auto" w:fill="auto"/>
            <w:vAlign w:val="center"/>
          </w:tcPr>
          <w:p w14:paraId="0BAAA0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3696</w:t>
            </w:r>
          </w:p>
        </w:tc>
        <w:tc>
          <w:tcPr>
            <w:tcW w:w="773" w:type="dxa"/>
            <w:shd w:val="clear" w:color="auto" w:fill="auto"/>
            <w:vAlign w:val="center"/>
          </w:tcPr>
          <w:p w14:paraId="7588BB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4196</w:t>
            </w:r>
          </w:p>
        </w:tc>
        <w:tc>
          <w:tcPr>
            <w:tcW w:w="738" w:type="dxa"/>
            <w:shd w:val="clear" w:color="auto" w:fill="auto"/>
            <w:vAlign w:val="center"/>
          </w:tcPr>
          <w:p w14:paraId="56FE9B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4696</w:t>
            </w:r>
          </w:p>
        </w:tc>
        <w:tc>
          <w:tcPr>
            <w:tcW w:w="693" w:type="dxa"/>
            <w:shd w:val="clear" w:color="auto" w:fill="auto"/>
            <w:vAlign w:val="center"/>
          </w:tcPr>
          <w:p w14:paraId="722DE1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4A717E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0A5A6B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1AA1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494" w:type="dxa"/>
            <w:vMerge w:val="continue"/>
            <w:vAlign w:val="center"/>
          </w:tcPr>
          <w:p w14:paraId="0685834E">
            <w:pPr>
              <w:widowControl/>
              <w:jc w:val="center"/>
              <w:rPr>
                <w:rFonts w:hint="eastAsia" w:ascii="宋体" w:hAnsi="宋体" w:eastAsia="宋体" w:cs="宋体"/>
                <w:kern w:val="0"/>
                <w:sz w:val="20"/>
                <w:szCs w:val="20"/>
              </w:rPr>
            </w:pPr>
          </w:p>
        </w:tc>
        <w:tc>
          <w:tcPr>
            <w:tcW w:w="1950" w:type="dxa"/>
            <w:gridSpan w:val="2"/>
            <w:shd w:val="clear" w:color="auto" w:fill="auto"/>
            <w:noWrap/>
            <w:vAlign w:val="center"/>
          </w:tcPr>
          <w:p w14:paraId="2AFCA1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高速公路建成里程（公里）</w:t>
            </w:r>
          </w:p>
        </w:tc>
        <w:tc>
          <w:tcPr>
            <w:tcW w:w="831" w:type="dxa"/>
            <w:shd w:val="clear" w:color="auto" w:fill="auto"/>
            <w:vAlign w:val="center"/>
          </w:tcPr>
          <w:p w14:paraId="1ED312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77</w:t>
            </w:r>
          </w:p>
        </w:tc>
        <w:tc>
          <w:tcPr>
            <w:tcW w:w="773" w:type="dxa"/>
            <w:shd w:val="clear" w:color="auto" w:fill="auto"/>
            <w:vAlign w:val="center"/>
          </w:tcPr>
          <w:p w14:paraId="4174DC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137</w:t>
            </w:r>
          </w:p>
        </w:tc>
        <w:tc>
          <w:tcPr>
            <w:tcW w:w="738" w:type="dxa"/>
            <w:shd w:val="clear" w:color="auto" w:fill="auto"/>
            <w:vAlign w:val="center"/>
          </w:tcPr>
          <w:p w14:paraId="3229AE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189</w:t>
            </w:r>
          </w:p>
        </w:tc>
        <w:tc>
          <w:tcPr>
            <w:tcW w:w="693" w:type="dxa"/>
            <w:shd w:val="clear" w:color="auto" w:fill="auto"/>
            <w:vAlign w:val="center"/>
          </w:tcPr>
          <w:p w14:paraId="0D90C5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57B03A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27E1EC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1226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494" w:type="dxa"/>
            <w:shd w:val="clear" w:color="auto" w:fill="auto"/>
            <w:noWrap/>
            <w:vAlign w:val="center"/>
          </w:tcPr>
          <w:p w14:paraId="13E2FE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950" w:type="dxa"/>
            <w:gridSpan w:val="2"/>
            <w:shd w:val="clear" w:color="auto" w:fill="auto"/>
            <w:noWrap/>
            <w:vAlign w:val="center"/>
          </w:tcPr>
          <w:p w14:paraId="1680C8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行政村通油路率（%）</w:t>
            </w:r>
          </w:p>
        </w:tc>
        <w:tc>
          <w:tcPr>
            <w:tcW w:w="831" w:type="dxa"/>
            <w:shd w:val="clear" w:color="auto" w:fill="auto"/>
            <w:noWrap/>
            <w:vAlign w:val="center"/>
          </w:tcPr>
          <w:p w14:paraId="1EB6FE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w:t>
            </w:r>
          </w:p>
        </w:tc>
        <w:tc>
          <w:tcPr>
            <w:tcW w:w="773" w:type="dxa"/>
            <w:shd w:val="clear" w:color="auto" w:fill="auto"/>
            <w:vAlign w:val="center"/>
          </w:tcPr>
          <w:p w14:paraId="77E4E6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738" w:type="dxa"/>
            <w:shd w:val="clear" w:color="auto" w:fill="auto"/>
            <w:vAlign w:val="center"/>
          </w:tcPr>
          <w:p w14:paraId="18436C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w:t>
            </w:r>
          </w:p>
        </w:tc>
        <w:tc>
          <w:tcPr>
            <w:tcW w:w="693" w:type="dxa"/>
            <w:shd w:val="clear" w:color="auto" w:fill="auto"/>
            <w:vAlign w:val="center"/>
          </w:tcPr>
          <w:p w14:paraId="7B6F6F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5A985D9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4B1FA3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5EFF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494" w:type="dxa"/>
            <w:shd w:val="clear" w:color="auto" w:fill="auto"/>
            <w:noWrap/>
            <w:vAlign w:val="center"/>
          </w:tcPr>
          <w:p w14:paraId="3AEFB3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950" w:type="dxa"/>
            <w:gridSpan w:val="2"/>
            <w:shd w:val="clear" w:color="auto" w:fill="auto"/>
            <w:noWrap/>
            <w:vAlign w:val="center"/>
          </w:tcPr>
          <w:p w14:paraId="285D5D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期末累计解决农村人口饮水安全人数（万人）</w:t>
            </w:r>
          </w:p>
        </w:tc>
        <w:tc>
          <w:tcPr>
            <w:tcW w:w="831" w:type="dxa"/>
            <w:shd w:val="clear" w:color="auto" w:fill="auto"/>
            <w:vAlign w:val="center"/>
          </w:tcPr>
          <w:p w14:paraId="326F78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37.9</w:t>
            </w:r>
          </w:p>
        </w:tc>
        <w:tc>
          <w:tcPr>
            <w:tcW w:w="773" w:type="dxa"/>
            <w:shd w:val="clear" w:color="auto" w:fill="auto"/>
            <w:vAlign w:val="center"/>
          </w:tcPr>
          <w:p w14:paraId="2B9169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全部解决</w:t>
            </w:r>
          </w:p>
        </w:tc>
        <w:tc>
          <w:tcPr>
            <w:tcW w:w="738" w:type="dxa"/>
            <w:shd w:val="clear" w:color="auto" w:fill="auto"/>
            <w:vAlign w:val="center"/>
          </w:tcPr>
          <w:p w14:paraId="760860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全部解决</w:t>
            </w:r>
          </w:p>
        </w:tc>
        <w:tc>
          <w:tcPr>
            <w:tcW w:w="693" w:type="dxa"/>
            <w:shd w:val="clear" w:color="auto" w:fill="auto"/>
            <w:vAlign w:val="center"/>
          </w:tcPr>
          <w:p w14:paraId="6151DB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51A451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45DBF9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7578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494" w:type="dxa"/>
            <w:shd w:val="clear" w:color="auto" w:fill="auto"/>
            <w:noWrap/>
            <w:vAlign w:val="center"/>
          </w:tcPr>
          <w:p w14:paraId="2CB4B4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950" w:type="dxa"/>
            <w:gridSpan w:val="2"/>
            <w:shd w:val="clear" w:color="auto" w:fill="auto"/>
            <w:vAlign w:val="center"/>
          </w:tcPr>
          <w:p w14:paraId="54212C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有效灌溉面积</w:t>
            </w:r>
          </w:p>
          <w:p w14:paraId="7A5213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覆盖率（%）</w:t>
            </w:r>
          </w:p>
        </w:tc>
        <w:tc>
          <w:tcPr>
            <w:tcW w:w="831" w:type="dxa"/>
            <w:shd w:val="clear" w:color="auto" w:fill="auto"/>
            <w:vAlign w:val="center"/>
          </w:tcPr>
          <w:p w14:paraId="534F44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58.8</w:t>
            </w:r>
          </w:p>
        </w:tc>
        <w:tc>
          <w:tcPr>
            <w:tcW w:w="773" w:type="dxa"/>
            <w:shd w:val="clear" w:color="auto" w:fill="auto"/>
            <w:vAlign w:val="center"/>
          </w:tcPr>
          <w:p w14:paraId="6EC2DE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64.5</w:t>
            </w:r>
          </w:p>
        </w:tc>
        <w:tc>
          <w:tcPr>
            <w:tcW w:w="738" w:type="dxa"/>
            <w:shd w:val="clear" w:color="auto" w:fill="auto"/>
            <w:vAlign w:val="center"/>
          </w:tcPr>
          <w:p w14:paraId="301173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671DD0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21C56C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64DF35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253F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44" w:type="dxa"/>
            <w:gridSpan w:val="3"/>
            <w:shd w:val="clear" w:color="auto" w:fill="auto"/>
            <w:noWrap/>
            <w:vAlign w:val="center"/>
          </w:tcPr>
          <w:p w14:paraId="425EC717">
            <w:pPr>
              <w:widowControl/>
              <w:ind w:firstLine="402" w:firstLineChars="20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五、人民生活和安全</w:t>
            </w:r>
          </w:p>
        </w:tc>
        <w:tc>
          <w:tcPr>
            <w:tcW w:w="831" w:type="dxa"/>
            <w:shd w:val="clear" w:color="auto" w:fill="auto"/>
            <w:vAlign w:val="center"/>
          </w:tcPr>
          <w:p w14:paraId="193147AB">
            <w:pPr>
              <w:widowControl/>
              <w:jc w:val="center"/>
              <w:rPr>
                <w:rFonts w:hint="eastAsia" w:ascii="宋体" w:hAnsi="宋体" w:eastAsia="宋体" w:cs="宋体"/>
                <w:kern w:val="0"/>
                <w:sz w:val="20"/>
                <w:szCs w:val="20"/>
              </w:rPr>
            </w:pPr>
          </w:p>
        </w:tc>
        <w:tc>
          <w:tcPr>
            <w:tcW w:w="773" w:type="dxa"/>
            <w:shd w:val="clear" w:color="auto" w:fill="auto"/>
            <w:vAlign w:val="center"/>
          </w:tcPr>
          <w:p w14:paraId="1968100B">
            <w:pPr>
              <w:widowControl/>
              <w:jc w:val="center"/>
              <w:rPr>
                <w:rFonts w:hint="eastAsia" w:ascii="宋体" w:hAnsi="宋体" w:eastAsia="宋体" w:cs="宋体"/>
                <w:kern w:val="0"/>
                <w:sz w:val="20"/>
                <w:szCs w:val="20"/>
              </w:rPr>
            </w:pPr>
          </w:p>
        </w:tc>
        <w:tc>
          <w:tcPr>
            <w:tcW w:w="738" w:type="dxa"/>
            <w:shd w:val="clear" w:color="auto" w:fill="auto"/>
            <w:vAlign w:val="center"/>
          </w:tcPr>
          <w:p w14:paraId="5AEF9FFD">
            <w:pPr>
              <w:widowControl/>
              <w:jc w:val="center"/>
              <w:rPr>
                <w:rFonts w:hint="eastAsia" w:ascii="宋体" w:hAnsi="宋体" w:eastAsia="宋体" w:cs="宋体"/>
                <w:kern w:val="0"/>
                <w:sz w:val="20"/>
                <w:szCs w:val="20"/>
              </w:rPr>
            </w:pPr>
          </w:p>
        </w:tc>
        <w:tc>
          <w:tcPr>
            <w:tcW w:w="693" w:type="dxa"/>
            <w:shd w:val="clear" w:color="auto" w:fill="auto"/>
            <w:vAlign w:val="center"/>
          </w:tcPr>
          <w:p w14:paraId="68308592">
            <w:pPr>
              <w:widowControl/>
              <w:jc w:val="center"/>
              <w:rPr>
                <w:rFonts w:hint="eastAsia" w:ascii="宋体" w:hAnsi="宋体" w:eastAsia="宋体" w:cs="宋体"/>
                <w:kern w:val="0"/>
                <w:sz w:val="20"/>
                <w:szCs w:val="20"/>
              </w:rPr>
            </w:pPr>
          </w:p>
        </w:tc>
        <w:tc>
          <w:tcPr>
            <w:tcW w:w="692" w:type="dxa"/>
            <w:shd w:val="clear" w:color="auto" w:fill="auto"/>
            <w:vAlign w:val="center"/>
          </w:tcPr>
          <w:p w14:paraId="3E2B346D">
            <w:pPr>
              <w:widowControl/>
              <w:jc w:val="center"/>
              <w:rPr>
                <w:rFonts w:hint="eastAsia" w:ascii="宋体" w:hAnsi="宋体" w:eastAsia="宋体" w:cs="宋体"/>
                <w:kern w:val="0"/>
                <w:sz w:val="20"/>
                <w:szCs w:val="20"/>
              </w:rPr>
            </w:pPr>
          </w:p>
        </w:tc>
        <w:tc>
          <w:tcPr>
            <w:tcW w:w="826" w:type="dxa"/>
            <w:shd w:val="clear" w:color="auto" w:fill="auto"/>
            <w:vAlign w:val="center"/>
          </w:tcPr>
          <w:p w14:paraId="17E2D745">
            <w:pPr>
              <w:widowControl/>
              <w:jc w:val="center"/>
              <w:rPr>
                <w:rFonts w:hint="eastAsia" w:ascii="宋体" w:hAnsi="宋体" w:eastAsia="宋体" w:cs="宋体"/>
                <w:kern w:val="0"/>
                <w:sz w:val="20"/>
                <w:szCs w:val="20"/>
              </w:rPr>
            </w:pPr>
          </w:p>
        </w:tc>
      </w:tr>
      <w:tr w14:paraId="4185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494" w:type="dxa"/>
            <w:shd w:val="clear" w:color="auto" w:fill="auto"/>
            <w:noWrap/>
            <w:vAlign w:val="center"/>
          </w:tcPr>
          <w:p w14:paraId="30FFE2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50" w:type="dxa"/>
            <w:gridSpan w:val="2"/>
            <w:shd w:val="clear" w:color="auto" w:fill="auto"/>
            <w:vAlign w:val="center"/>
          </w:tcPr>
          <w:p w14:paraId="02687C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科技进步指数（%）</w:t>
            </w:r>
          </w:p>
        </w:tc>
        <w:tc>
          <w:tcPr>
            <w:tcW w:w="831" w:type="dxa"/>
            <w:shd w:val="clear" w:color="auto" w:fill="auto"/>
            <w:vAlign w:val="center"/>
          </w:tcPr>
          <w:p w14:paraId="0D2D36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69</w:t>
            </w:r>
          </w:p>
        </w:tc>
        <w:tc>
          <w:tcPr>
            <w:tcW w:w="773" w:type="dxa"/>
            <w:shd w:val="clear" w:color="auto" w:fill="auto"/>
            <w:vAlign w:val="center"/>
          </w:tcPr>
          <w:p w14:paraId="30CA18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738" w:type="dxa"/>
            <w:shd w:val="clear" w:color="auto" w:fill="auto"/>
            <w:vAlign w:val="center"/>
          </w:tcPr>
          <w:p w14:paraId="583E24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761C9D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0C12A1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74236B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5EEA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494" w:type="dxa"/>
            <w:shd w:val="clear" w:color="auto" w:fill="auto"/>
            <w:noWrap/>
            <w:vAlign w:val="center"/>
          </w:tcPr>
          <w:p w14:paraId="7C93C0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950" w:type="dxa"/>
            <w:gridSpan w:val="2"/>
            <w:shd w:val="clear" w:color="auto" w:fill="auto"/>
            <w:vAlign w:val="center"/>
          </w:tcPr>
          <w:p w14:paraId="11241D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城镇化率（%）</w:t>
            </w:r>
          </w:p>
        </w:tc>
        <w:tc>
          <w:tcPr>
            <w:tcW w:w="831" w:type="dxa"/>
            <w:shd w:val="clear" w:color="000000" w:fill="FFFFFF"/>
            <w:vAlign w:val="center"/>
          </w:tcPr>
          <w:p w14:paraId="76AC70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51.16</w:t>
            </w:r>
          </w:p>
        </w:tc>
        <w:tc>
          <w:tcPr>
            <w:tcW w:w="773" w:type="dxa"/>
            <w:shd w:val="clear" w:color="000000" w:fill="FFFFFF"/>
            <w:noWrap/>
            <w:vAlign w:val="center"/>
          </w:tcPr>
          <w:p w14:paraId="1F9E66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58</w:t>
            </w:r>
          </w:p>
        </w:tc>
        <w:tc>
          <w:tcPr>
            <w:tcW w:w="738" w:type="dxa"/>
            <w:shd w:val="clear" w:color="000000" w:fill="FFFFFF"/>
            <w:noWrap/>
            <w:vAlign w:val="center"/>
          </w:tcPr>
          <w:p w14:paraId="5888B8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000000" w:fill="FFFFFF"/>
            <w:vAlign w:val="center"/>
          </w:tcPr>
          <w:p w14:paraId="7D63D0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000000" w:fill="FFFFFF"/>
            <w:vAlign w:val="center"/>
          </w:tcPr>
          <w:p w14:paraId="5B2EDE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5932B4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6516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494" w:type="dxa"/>
            <w:shd w:val="clear" w:color="auto" w:fill="auto"/>
            <w:noWrap/>
            <w:vAlign w:val="center"/>
          </w:tcPr>
          <w:p w14:paraId="1D1641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950" w:type="dxa"/>
            <w:gridSpan w:val="2"/>
            <w:shd w:val="clear" w:color="auto" w:fill="auto"/>
            <w:vAlign w:val="center"/>
          </w:tcPr>
          <w:p w14:paraId="0C595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年末常住人口</w:t>
            </w:r>
          </w:p>
          <w:p w14:paraId="27E551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（万人）</w:t>
            </w:r>
          </w:p>
        </w:tc>
        <w:tc>
          <w:tcPr>
            <w:tcW w:w="831" w:type="dxa"/>
            <w:shd w:val="clear" w:color="auto" w:fill="auto"/>
            <w:vAlign w:val="center"/>
          </w:tcPr>
          <w:p w14:paraId="185D97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38.9</w:t>
            </w:r>
          </w:p>
        </w:tc>
        <w:tc>
          <w:tcPr>
            <w:tcW w:w="773" w:type="dxa"/>
            <w:shd w:val="clear" w:color="auto" w:fill="auto"/>
            <w:vAlign w:val="center"/>
          </w:tcPr>
          <w:p w14:paraId="2A569F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39.9</w:t>
            </w:r>
          </w:p>
        </w:tc>
        <w:tc>
          <w:tcPr>
            <w:tcW w:w="738" w:type="dxa"/>
            <w:shd w:val="clear" w:color="auto" w:fill="auto"/>
            <w:vAlign w:val="center"/>
          </w:tcPr>
          <w:p w14:paraId="01E8AE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40</w:t>
            </w:r>
          </w:p>
        </w:tc>
        <w:tc>
          <w:tcPr>
            <w:tcW w:w="693" w:type="dxa"/>
            <w:shd w:val="clear" w:color="auto" w:fill="auto"/>
            <w:vAlign w:val="center"/>
          </w:tcPr>
          <w:p w14:paraId="2B085E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0.5</w:t>
            </w:r>
          </w:p>
        </w:tc>
        <w:tc>
          <w:tcPr>
            <w:tcW w:w="692" w:type="dxa"/>
            <w:shd w:val="clear" w:color="auto" w:fill="auto"/>
            <w:vAlign w:val="center"/>
          </w:tcPr>
          <w:p w14:paraId="11395B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0.6</w:t>
            </w:r>
          </w:p>
        </w:tc>
        <w:tc>
          <w:tcPr>
            <w:tcW w:w="826" w:type="dxa"/>
            <w:shd w:val="clear" w:color="auto" w:fill="auto"/>
            <w:vAlign w:val="center"/>
          </w:tcPr>
          <w:p w14:paraId="76D86B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5E2D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494" w:type="dxa"/>
            <w:shd w:val="clear" w:color="auto" w:fill="auto"/>
            <w:noWrap/>
            <w:vAlign w:val="center"/>
          </w:tcPr>
          <w:p w14:paraId="772CA9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950" w:type="dxa"/>
            <w:gridSpan w:val="2"/>
            <w:shd w:val="clear" w:color="auto" w:fill="auto"/>
            <w:vAlign w:val="center"/>
          </w:tcPr>
          <w:p w14:paraId="4154B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人口自然增长率（%）</w:t>
            </w:r>
          </w:p>
        </w:tc>
        <w:tc>
          <w:tcPr>
            <w:tcW w:w="831" w:type="dxa"/>
            <w:shd w:val="clear" w:color="auto" w:fill="auto"/>
            <w:vAlign w:val="center"/>
          </w:tcPr>
          <w:p w14:paraId="36B142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43.6</w:t>
            </w:r>
          </w:p>
        </w:tc>
        <w:tc>
          <w:tcPr>
            <w:tcW w:w="773" w:type="dxa"/>
            <w:shd w:val="clear" w:color="auto" w:fill="auto"/>
            <w:vAlign w:val="center"/>
          </w:tcPr>
          <w:p w14:paraId="56DF92BC">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kern w:val="0"/>
                <w:sz w:val="20"/>
                <w:szCs w:val="20"/>
              </w:rPr>
            </w:pPr>
            <w:r>
              <w:rPr>
                <w:rFonts w:hint="eastAsia" w:ascii="宋体" w:hAnsi="宋体" w:eastAsia="宋体" w:cs="宋体"/>
                <w:kern w:val="0"/>
                <w:sz w:val="20"/>
                <w:szCs w:val="20"/>
              </w:rPr>
              <w:t xml:space="preserve">44        </w:t>
            </w:r>
          </w:p>
        </w:tc>
        <w:tc>
          <w:tcPr>
            <w:tcW w:w="738" w:type="dxa"/>
            <w:shd w:val="clear" w:color="auto" w:fill="auto"/>
            <w:vAlign w:val="center"/>
          </w:tcPr>
          <w:p w14:paraId="7E6EE4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3" w:type="dxa"/>
            <w:shd w:val="clear" w:color="auto" w:fill="auto"/>
            <w:vAlign w:val="center"/>
          </w:tcPr>
          <w:p w14:paraId="48286D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72B85E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kern w:val="0"/>
                <w:sz w:val="20"/>
                <w:szCs w:val="20"/>
              </w:rPr>
            </w:pPr>
            <w:r>
              <w:rPr>
                <w:rFonts w:hint="eastAsia" w:ascii="宋体" w:hAnsi="宋体" w:eastAsia="宋体" w:cs="宋体"/>
                <w:b/>
                <w:bCs/>
                <w:kern w:val="0"/>
                <w:sz w:val="20"/>
                <w:szCs w:val="20"/>
              </w:rPr>
              <w:t>——</w:t>
            </w:r>
          </w:p>
        </w:tc>
        <w:tc>
          <w:tcPr>
            <w:tcW w:w="826" w:type="dxa"/>
            <w:shd w:val="clear" w:color="auto" w:fill="auto"/>
            <w:vAlign w:val="center"/>
          </w:tcPr>
          <w:p w14:paraId="1BE3E5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约束值</w:t>
            </w:r>
          </w:p>
        </w:tc>
      </w:tr>
      <w:tr w14:paraId="3CD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494" w:type="dxa"/>
            <w:shd w:val="clear" w:color="auto" w:fill="auto"/>
            <w:noWrap/>
            <w:vAlign w:val="center"/>
          </w:tcPr>
          <w:p w14:paraId="0DBFCA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950" w:type="dxa"/>
            <w:gridSpan w:val="2"/>
            <w:shd w:val="clear" w:color="auto" w:fill="auto"/>
            <w:vAlign w:val="center"/>
          </w:tcPr>
          <w:p w14:paraId="7B83FF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亿元GDP生产安全事故死亡率（人）</w:t>
            </w:r>
          </w:p>
        </w:tc>
        <w:tc>
          <w:tcPr>
            <w:tcW w:w="3727" w:type="dxa"/>
            <w:gridSpan w:val="5"/>
            <w:shd w:val="clear" w:color="auto" w:fill="auto"/>
            <w:vAlign w:val="center"/>
          </w:tcPr>
          <w:p w14:paraId="4587BF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kern w:val="0"/>
                <w:sz w:val="20"/>
                <w:szCs w:val="20"/>
              </w:rPr>
            </w:pPr>
            <w:r>
              <w:rPr>
                <w:rFonts w:hint="eastAsia" w:ascii="宋体" w:hAnsi="宋体" w:eastAsia="宋体" w:cs="宋体"/>
                <w:kern w:val="0"/>
                <w:sz w:val="20"/>
                <w:szCs w:val="20"/>
              </w:rPr>
              <w:t>完成省、市下达指标</w:t>
            </w:r>
          </w:p>
        </w:tc>
        <w:tc>
          <w:tcPr>
            <w:tcW w:w="826" w:type="dxa"/>
            <w:shd w:val="clear" w:color="auto" w:fill="auto"/>
            <w:vAlign w:val="center"/>
          </w:tcPr>
          <w:p w14:paraId="6D8317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r w14:paraId="00A8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494" w:type="dxa"/>
            <w:shd w:val="clear" w:color="auto" w:fill="auto"/>
            <w:noWrap/>
            <w:vAlign w:val="center"/>
          </w:tcPr>
          <w:p w14:paraId="508C32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950" w:type="dxa"/>
            <w:gridSpan w:val="2"/>
            <w:shd w:val="clear" w:color="auto" w:fill="auto"/>
            <w:vAlign w:val="center"/>
          </w:tcPr>
          <w:p w14:paraId="220203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经济发展满意度</w:t>
            </w:r>
          </w:p>
        </w:tc>
        <w:tc>
          <w:tcPr>
            <w:tcW w:w="831" w:type="dxa"/>
            <w:shd w:val="clear" w:color="auto" w:fill="auto"/>
            <w:vAlign w:val="center"/>
          </w:tcPr>
          <w:p w14:paraId="364A43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90</w:t>
            </w:r>
          </w:p>
        </w:tc>
        <w:tc>
          <w:tcPr>
            <w:tcW w:w="773" w:type="dxa"/>
            <w:shd w:val="clear" w:color="auto" w:fill="auto"/>
            <w:vAlign w:val="center"/>
          </w:tcPr>
          <w:p w14:paraId="3E9723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93</w:t>
            </w:r>
          </w:p>
        </w:tc>
        <w:tc>
          <w:tcPr>
            <w:tcW w:w="738" w:type="dxa"/>
            <w:shd w:val="clear" w:color="auto" w:fill="auto"/>
            <w:vAlign w:val="center"/>
          </w:tcPr>
          <w:p w14:paraId="5E969A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693" w:type="dxa"/>
            <w:shd w:val="clear" w:color="auto" w:fill="auto"/>
            <w:vAlign w:val="center"/>
          </w:tcPr>
          <w:p w14:paraId="18A0C4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692" w:type="dxa"/>
            <w:shd w:val="clear" w:color="auto" w:fill="auto"/>
            <w:vAlign w:val="center"/>
          </w:tcPr>
          <w:p w14:paraId="4F2190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826" w:type="dxa"/>
            <w:shd w:val="clear" w:color="auto" w:fill="auto"/>
            <w:vAlign w:val="center"/>
          </w:tcPr>
          <w:p w14:paraId="31FF41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预期值</w:t>
            </w:r>
          </w:p>
        </w:tc>
      </w:tr>
    </w:tbl>
    <w:p w14:paraId="3982D33C">
      <w:pPr>
        <w:pStyle w:val="2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center"/>
        <w:textAlignment w:val="auto"/>
        <w:outlineLvl w:val="1"/>
        <w:rPr>
          <w:rFonts w:hint="eastAsia" w:ascii="宋体" w:hAnsi="宋体" w:eastAsia="宋体" w:cs="宋体"/>
          <w:b/>
          <w:bCs w:val="0"/>
          <w:color w:val="auto"/>
          <w:sz w:val="28"/>
          <w:szCs w:val="28"/>
        </w:rPr>
      </w:pPr>
      <w:bookmarkStart w:id="18" w:name="_Toc10262"/>
      <w:r>
        <w:rPr>
          <w:rFonts w:hint="eastAsia" w:ascii="宋体" w:hAnsi="宋体" w:eastAsia="宋体" w:cs="宋体"/>
          <w:b/>
          <w:bCs w:val="0"/>
          <w:color w:val="auto"/>
          <w:sz w:val="28"/>
          <w:szCs w:val="28"/>
        </w:rPr>
        <w:t>到二〇三五年远景目标</w:t>
      </w:r>
      <w:bookmarkEnd w:id="18"/>
    </w:p>
    <w:p w14:paraId="2E545422">
      <w:pPr>
        <w:pStyle w:val="27"/>
        <w:spacing w:line="320" w:lineRule="exact"/>
        <w:ind w:left="560" w:leftChars="200" w:firstLine="0" w:firstLineChars="0"/>
        <w:rPr>
          <w:rFonts w:hint="eastAsia" w:ascii="宋体" w:hAnsi="宋体" w:eastAsia="宋体" w:cs="宋体"/>
          <w:bCs/>
          <w:color w:val="auto"/>
          <w:sz w:val="30"/>
          <w:szCs w:val="30"/>
        </w:rPr>
      </w:pPr>
    </w:p>
    <w:p w14:paraId="584070E2">
      <w:pPr>
        <w:keepNext w:val="0"/>
        <w:keepLines w:val="0"/>
        <w:pageBreakBefore w:val="0"/>
        <w:widowControl w:val="0"/>
        <w:tabs>
          <w:tab w:val="center" w:pos="4153"/>
          <w:tab w:val="right" w:pos="8306"/>
        </w:tabs>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到二〇三五年，经济总量和城乡居民人均可支配收入迈上新台阶，与全国、全省、全市一道基本实现现代化，奋力建设和谐幸福美丽新绥阳。基本实现新型工业化、新型城镇化、农业现代化、旅游产业化，“四个轮子”一起转，建成现代化经济体系；国民素质和社会文明程度达到新高度，文化软实力显著增强；广泛形成绿色生产生活方式，生态文明建设达到更高水平；基本公共服务均等化、基础设施通达度达到东部地区平均水平，基本实现治理体系和治理能力现代化。总体分三步走：“十四五”时期为加快追赶期，全面缩小与全国现代化平均水平的差距；“十五五”时期为冲刺追平期，基本达到或接近全国现代化平均水平；“十六五”时期为重点超越期，与全国、全省、全市一道基本实现现代化。</w:t>
      </w:r>
    </w:p>
    <w:p w14:paraId="447DE309">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sz w:val="28"/>
          <w:szCs w:val="28"/>
        </w:rPr>
        <w:sectPr>
          <w:headerReference r:id="rId12" w:type="default"/>
          <w:pgSz w:w="8392" w:h="11850"/>
          <w:pgMar w:top="1247" w:right="879" w:bottom="1020" w:left="879" w:header="851" w:footer="992" w:gutter="0"/>
          <w:pgNumType w:fmt="decimal"/>
          <w:cols w:space="425" w:num="1"/>
          <w:rtlGutter w:val="0"/>
          <w:docGrid w:type="lines" w:linePitch="456" w:charSpace="0"/>
        </w:sectPr>
      </w:pPr>
    </w:p>
    <w:p w14:paraId="5A6825E7">
      <w:pPr>
        <w:spacing w:line="520" w:lineRule="exact"/>
        <w:jc w:val="center"/>
        <w:outlineLvl w:val="0"/>
        <w:rPr>
          <w:rFonts w:hint="eastAsia" w:ascii="宋体" w:hAnsi="宋体" w:eastAsia="宋体" w:cs="宋体"/>
          <w:b/>
          <w:bCs w:val="0"/>
          <w:sz w:val="36"/>
          <w:szCs w:val="36"/>
        </w:rPr>
      </w:pPr>
      <w:bookmarkStart w:id="19" w:name="_Toc10528"/>
      <w:r>
        <w:rPr>
          <w:rFonts w:hint="eastAsia" w:ascii="宋体" w:hAnsi="宋体" w:eastAsia="宋体" w:cs="宋体"/>
          <w:b/>
          <w:bCs w:val="0"/>
          <w:sz w:val="36"/>
          <w:szCs w:val="36"/>
        </w:rPr>
        <w:t>第三章  大力推进新型工业化，                  加快发展现代产业体系</w:t>
      </w:r>
      <w:bookmarkEnd w:id="19"/>
    </w:p>
    <w:p w14:paraId="5923B3E8">
      <w:pPr>
        <w:tabs>
          <w:tab w:val="center" w:pos="4153"/>
          <w:tab w:val="right" w:pos="8306"/>
        </w:tabs>
        <w:adjustRightInd w:val="0"/>
        <w:spacing w:line="520" w:lineRule="exact"/>
        <w:ind w:firstLine="723" w:firstLineChars="200"/>
        <w:jc w:val="center"/>
        <w:rPr>
          <w:rFonts w:hint="eastAsia" w:ascii="宋体" w:hAnsi="宋体" w:eastAsia="宋体" w:cs="宋体"/>
          <w:b/>
          <w:sz w:val="36"/>
          <w:szCs w:val="36"/>
        </w:rPr>
      </w:pPr>
    </w:p>
    <w:p w14:paraId="04A04A3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定不移实施工业强县战略，紧紧围绕全省“十大工业”战略部署和全市工业高质量发展意见，大力实施产业发展提升行动，以工业为引领，牢牢抓住工业经济“牛鼻子”，坚持走特色化、差异化发展之路，扎实推进绿色食品工业、煤电锰、装备制造、医药大健康等优势产业和新兴产业协同并进的新型工业产业体系，着力建设新型工业集聚区，推动产业高端化、绿色化、集约化发展，提高经济质量和核心竞争力。</w:t>
      </w:r>
    </w:p>
    <w:p w14:paraId="4E08FA5D">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30"/>
          <w:szCs w:val="30"/>
        </w:rPr>
      </w:pPr>
    </w:p>
    <w:p w14:paraId="6CF94363">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val="0"/>
          <w:sz w:val="28"/>
          <w:szCs w:val="28"/>
        </w:rPr>
      </w:pPr>
      <w:bookmarkStart w:id="20" w:name="_Toc8203"/>
      <w:r>
        <w:rPr>
          <w:rFonts w:hint="eastAsia" w:ascii="宋体" w:hAnsi="宋体" w:eastAsia="宋体" w:cs="宋体"/>
          <w:b/>
          <w:bCs w:val="0"/>
          <w:sz w:val="28"/>
          <w:szCs w:val="28"/>
        </w:rPr>
        <w:t>第一节  优化工业发展空间布局，构建新型发展</w:t>
      </w:r>
    </w:p>
    <w:p w14:paraId="287B4DB2">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val="0"/>
          <w:sz w:val="28"/>
          <w:szCs w:val="28"/>
        </w:rPr>
      </w:pPr>
      <w:r>
        <w:rPr>
          <w:rFonts w:hint="eastAsia" w:ascii="宋体" w:hAnsi="宋体" w:eastAsia="宋体" w:cs="宋体"/>
          <w:b/>
          <w:bCs w:val="0"/>
          <w:sz w:val="28"/>
          <w:szCs w:val="28"/>
        </w:rPr>
        <w:t>格局</w:t>
      </w:r>
      <w:bookmarkEnd w:id="20"/>
    </w:p>
    <w:p w14:paraId="6A32E0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以“瞄准优势产业抓集群，围绕产业链条抓配套，盯住重点企业抓服务，突出园区改革抓效益”的总思路，大力推进以产兴城、以城促产、产城互动，着力优化产业空间布局，推动主导产业、配套产业、生产要素向重点区域集聚，着力打造以煤电锰一体化循环经济产业园区为核心，以特色产业为集群的“一核、多集群”工业高质量发展空间格局。到2025年，煤电锰循环经济产业实现总产值42亿元；装备制造产业实现总产值10亿元以上；农产品加工业实现总产值5亿元以上；大健康医药产业实现总产值3亿元以上。</w:t>
      </w:r>
    </w:p>
    <w:p w14:paraId="6513B82E">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eastAsia" w:ascii="宋体" w:hAnsi="宋体" w:eastAsia="宋体" w:cs="宋体"/>
        </w:rPr>
      </w:pPr>
    </w:p>
    <w:p w14:paraId="45208ABC">
      <w:pPr>
        <w:pStyle w:val="5"/>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专栏3  “一核、多集群”产业空间格局</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6CD44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9FA8F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一、“一核”：依托煤电锰循环经济产业园，进一步招引上下游企业，形成“产品相互配套，市场自我调节，规模协调发展”的节能环保经济产业链。</w:t>
            </w:r>
          </w:p>
          <w:p w14:paraId="0FD315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二、“多集群”：</w:t>
            </w:r>
          </w:p>
          <w:p w14:paraId="1B18832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1、依托航天十院军工企业的人才、技术、资源等优势，大力推动装备制造企业自主创新，同时引进一批高质量、高规模、高标准军民融合制造企业，重点将风华镇531至532相关区域打造为装备制造规模化产业区。</w:t>
            </w:r>
          </w:p>
          <w:p w14:paraId="084041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2、依托枧坝、宽阔等丰富的煤炭资源，以整合煤矿企业实现煤炭产业健康有序发展，全力发展能源产业。</w:t>
            </w:r>
          </w:p>
          <w:p w14:paraId="3425A32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3、依托洋川、风华、旺草、黄杨等辣椒种植基础，在工业园区建设辣椒加工产业园，做大做强绥阳辣椒产业，打造遵义市世界辣椒加工贸易基地。</w:t>
            </w:r>
          </w:p>
          <w:p w14:paraId="333C3E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4、依托小关、郑场等种植金银花的基础，加大贵州百灵等医药公司招商引资力度，延伸金银花深加工产业链，做优做强金银花产业。加大与企业联合申报绿色项目资金力度，将服装产业园转型为医药大健康产业园。</w:t>
            </w:r>
          </w:p>
          <w:p w14:paraId="5F18CB2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5、依托宽阔、黄杨、温泉等柴胡、天麻、白芨种植基础，有序推进中药材产业发展。</w:t>
            </w:r>
          </w:p>
          <w:p w14:paraId="3CEFF5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r>
              <w:rPr>
                <w:rFonts w:hint="eastAsia"/>
              </w:rPr>
              <w:t>6、依托温泉、枧坝、旺草等丰富水资源，建设特色生态用水品牌，重点支持汇善谷、红瑞集团做大做强水产业。</w:t>
            </w:r>
          </w:p>
        </w:tc>
      </w:tr>
    </w:tbl>
    <w:p w14:paraId="39578C7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val="0"/>
          <w:sz w:val="28"/>
          <w:szCs w:val="28"/>
        </w:rPr>
      </w:pPr>
      <w:bookmarkStart w:id="21" w:name="_Toc29983"/>
      <w:r>
        <w:rPr>
          <w:rFonts w:hint="eastAsia" w:ascii="宋体" w:hAnsi="宋体" w:eastAsia="宋体" w:cs="宋体"/>
          <w:b/>
          <w:bCs w:val="0"/>
          <w:sz w:val="28"/>
          <w:szCs w:val="28"/>
        </w:rPr>
        <w:t>大力发展绿色食品工业</w:t>
      </w:r>
      <w:bookmarkEnd w:id="21"/>
    </w:p>
    <w:p w14:paraId="7BFA3E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力做大做强绿色食品工业，加快推进绿色食品工业园区建设。抢抓遵义建设“世界辣椒加工贸易基地”机遇，全面做响“中国辣椒之乡”品牌，坚持把辣椒作为“一县一业”主导产业发展，大力实施“辣椒经济”发展战略，打造世界辣椒贸易加工基地协作区。立足“中国金银花之乡”品牌，围绕把优质金银花做成“食品”的思路，做大做强金银花产业，加强金银花绿原酸提取等精深加工，不断延伸金银花产业链。坚持以竹笋、食用菌为重点，着力发展即食蔬菜工业。支持茶产业加工，打造黄金茶加工贸易中心，申报绥阳黄金茶公共品牌。依托金银花、野生天麻、梅花鹿等特色产业，因地制宜发展保健酒、养生酒等地方特色优质食品加工业，做大做强宝洞酒业，重塑仙台窖等白酒品牌。精深发展优质大米、空心面、生态畜禽肉及肉制品加工业。依托绥阳辣椒、绥阳土鸡地理标志品牌，培育发展调味品制造业。</w:t>
      </w:r>
    </w:p>
    <w:p w14:paraId="4183E4FD">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5A3A4D5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val="0"/>
          <w:sz w:val="28"/>
          <w:szCs w:val="28"/>
        </w:rPr>
      </w:pPr>
      <w:bookmarkStart w:id="22" w:name="_Toc4248"/>
      <w:r>
        <w:rPr>
          <w:rFonts w:hint="eastAsia" w:ascii="宋体" w:hAnsi="宋体" w:eastAsia="宋体" w:cs="宋体"/>
          <w:b/>
          <w:bCs w:val="0"/>
          <w:sz w:val="28"/>
          <w:szCs w:val="28"/>
        </w:rPr>
        <w:t>因势利导发展特色和新兴产业</w:t>
      </w:r>
      <w:bookmarkEnd w:id="22"/>
    </w:p>
    <w:p w14:paraId="74CEFC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发挥好“三线”军工基础优势，加快推进传统特色工业扩量提质、升级发展。依托在绥军民融合企业和资源优势，围绕航空、航天、水泵等关键领域的应用，重点发展水泵、电力工业配套装备、特种铸锻、航空航天紧固件和钛合金材料大中型锻件配套军用装备产业。大力实施装备制造业扩量提质转型升级工程。抓住与航天十院合作发展契机，积极推动以资产换土地、以土地换产业。支持金业、拓特、肯富来、风华实业、昌义航等企业研发特种精密铸造、特种铸锻、森林灭火弹等产品，形成军品零配件、汽车配件、冰箱零部件、家用电器等机电制造产业。大力招引国内外优强企业及其配套产业，培育发展高新技术产业。</w:t>
      </w:r>
    </w:p>
    <w:p w14:paraId="5F04B2C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锰系合金、自备电厂、水泥生产为基础，加快变性燃料乙醇项目建设，全力推进煤电锰循环经济产业及上下游配套产业。大力实施煤电锰循环经济产业优化升级工程。以电煤保供和盘活县域煤炭资源为重点，全力保障2×150兆瓦动力车间运行。以煤电锰循环经济项目为基础，充分利用热电车间及硅锰铁合金产品生产中的余热和粉煤灰、脱硫石膏等工业废弃资源生产新型建筑材料。开展能源梯级利用，重点建设水泥窑余热发电、低压蒸汽利用项目，实现废渣、废水、废气、废热的完全再生利用。</w:t>
      </w:r>
    </w:p>
    <w:p w14:paraId="5339D0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积极抓住新一轮科技革命和产业变革的机遇，把加快培育和发展战略性新兴产业放在推进产业结构升级和经济发展方式转变的突出位置，着力引进和培育一批重点企业，加快发展电子信息产业，鼓励发展节能环保产业和新型建筑材料产业。围绕医药大健康产业，完善基础配套，打造贵州省医疗器械生产基地。</w:t>
      </w:r>
    </w:p>
    <w:p w14:paraId="5E10C05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快发展中药材产业。加大引进医药龙头企业力度，支持地方传统中医药健康产业发展。大力实施大健康医药产业培育工程。加快推进中药材原料基地建设和中成药新品种开发，做强做大特色中药饮片等产品，支持腾峰医疗、苗老藤、源茂农业等大健康医药企业发展壮大。积极引进一批知名医药企业来绥阳发展，着力推进“医、药、健、养、食”融合发展，依托金银花、矿（山）泉水等资源，加大保健食品、优质饮用水等开发生产力度。深入挖掘地方特色医药和非遗文化，扶持地方传统中医药健康产业发展。</w:t>
      </w:r>
    </w:p>
    <w:p w14:paraId="643FE62B">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4498BC8D">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23" w:name="_Toc21892"/>
      <w:r>
        <w:rPr>
          <w:rFonts w:hint="eastAsia" w:ascii="宋体" w:hAnsi="宋体" w:eastAsia="宋体" w:cs="宋体"/>
          <w:b/>
          <w:bCs/>
          <w:sz w:val="28"/>
          <w:szCs w:val="28"/>
        </w:rPr>
        <w:t>提升产业链现代化水平</w:t>
      </w:r>
      <w:bookmarkEnd w:id="23"/>
    </w:p>
    <w:p w14:paraId="5592184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树立全</w:t>
      </w:r>
      <w:r>
        <w:rPr>
          <w:rFonts w:hint="eastAsia" w:ascii="宋体" w:hAnsi="宋体" w:eastAsia="宋体" w:cs="宋体"/>
          <w:sz w:val="28"/>
          <w:szCs w:val="28"/>
        </w:rPr>
        <w:t>产业链思维，以产业基础高级化和产业链现代化为目标，推动抓产业向抓产业链转变。实施新一轮技改工程和产业基础再造工程，围绕重点产业引企业、上项目、抓技改，突出企业的主体地位，支持企业运用新技术、创造新模式、生产新产品、开拓新市场，大力补链、延链、强链，推动产业高端化、智能化、绿色化。围绕煤电锰循环经济，全力招引扶持上下游企业，补齐补强产业链，打造全省循环经济示范基地。</w:t>
      </w:r>
      <w:r>
        <w:rPr>
          <w:rFonts w:hint="eastAsia" w:ascii="宋体" w:hAnsi="宋体" w:eastAsia="宋体" w:cs="宋体"/>
          <w:spacing w:val="-20"/>
          <w:sz w:val="28"/>
          <w:szCs w:val="28"/>
        </w:rPr>
        <w:t>依托原五三一基地等三线资源资产，</w:t>
      </w:r>
      <w:r>
        <w:rPr>
          <w:rFonts w:hint="eastAsia" w:ascii="宋体" w:hAnsi="宋体" w:eastAsia="宋体" w:cs="宋体"/>
          <w:sz w:val="28"/>
          <w:szCs w:val="28"/>
        </w:rPr>
        <w:t>引进一批高规模、高标准装备制造及其配套产业。加快发展研发设计、现代物流、法律服务等生产性服务业，支持发展服务型制造，强化土地、资金等要素支撑，优化产业链发展环境，提升产业链供应链水平。</w:t>
      </w:r>
    </w:p>
    <w:p w14:paraId="5D57B846">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47D1CA7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24" w:name="_Toc19050"/>
      <w:r>
        <w:rPr>
          <w:rFonts w:hint="eastAsia" w:ascii="宋体" w:hAnsi="宋体" w:eastAsia="宋体" w:cs="宋体"/>
          <w:b/>
          <w:bCs/>
          <w:sz w:val="28"/>
          <w:szCs w:val="28"/>
        </w:rPr>
        <w:t>优化促进园区集聚发展</w:t>
      </w:r>
      <w:bookmarkEnd w:id="24"/>
    </w:p>
    <w:p w14:paraId="3D1CFC2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理规划园区布局，按照“产业向园区集聚、资源向产业集中、企业向园区聚合、要素向园区聚拢”的原则，推进产业错位发展、集聚发展，明确重点产业园区主导产业、功能分区、发展目标、政策支持，推动企业进园区集约高效发展，强力推进绿色食品工业、煤电锰、装备制造、医药大健康等产业向园区集聚，着力打造以省级经济开发区为支撑，煤电锰循环经济产业为龙头，特色产业为基础的工业高质量发展格局。坚持产城融合发展，加强金融服务、公共交通、休闲娱乐、医疗卫生、文化教育等服务配套设施建设，促进园区生产、生活、生态融合，增强综合服务发展能力。进一步理顺经开区管理体制，构建以园区一站式政务服务中心为载体的公共服务平台。</w:t>
      </w:r>
    </w:p>
    <w:p w14:paraId="19B69B01">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eastAsia" w:ascii="宋体" w:hAnsi="宋体" w:eastAsia="宋体" w:cs="宋体"/>
          <w:sz w:val="28"/>
          <w:szCs w:val="28"/>
        </w:rPr>
      </w:pPr>
    </w:p>
    <w:p w14:paraId="1707D1A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val="0"/>
          <w:sz w:val="28"/>
          <w:szCs w:val="28"/>
        </w:rPr>
      </w:pPr>
      <w:bookmarkStart w:id="25" w:name="_Toc17316"/>
      <w:r>
        <w:rPr>
          <w:rFonts w:hint="eastAsia" w:ascii="宋体" w:hAnsi="宋体" w:eastAsia="宋体" w:cs="宋体"/>
          <w:b/>
          <w:bCs w:val="0"/>
          <w:sz w:val="28"/>
          <w:szCs w:val="28"/>
        </w:rPr>
        <w:t>打造高质量发展新引擎</w:t>
      </w:r>
      <w:bookmarkEnd w:id="25"/>
    </w:p>
    <w:p w14:paraId="13F8AD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着力推进工业高质量发展，以实施实体经济培育和市场拓展攻坚、推动企业数字化改造为抓手，推动全县工业经济提质增效升级。</w:t>
      </w:r>
    </w:p>
    <w:p w14:paraId="101C414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强实体经济培育。一是大力实施“千企引进”工程。把招商引资作为推动工业发展第一抓手，坚持“招好商、选优商”原则，严格按照“建链、补链、强链”要求，扎实推进产业链招商、以商招商，实现企业集群、产业集聚。有序有效组织重点产业招商，科学分配招商引资任务，强化招商引资考核，通过以商招商、小分队驻点招商、主要领导带头招商等多形式开展精准招商，确保在引进产业龙头企业上取得突破。围绕已入驻的全国五百强企业双胞胎集团、贵州百灵制药等强龙头、补链条、聚集群。二是聚焦“四大产业”，加大政策扶持力度和投入强度，集聚创新要素，跟踪科技前沿，狠抓项目建设，培育骨干企业，提高产业协作配套水平，为企业打造优质发展平台。三是深入实施“大众创业、万众创新”工程，发展一批“专、精、特、新”中小微企业。因地制宜规划建设一批返乡农民工创业园，鼓励支持返乡农民工发展一批技术密集型、劳动密集型中小微企业。四是深入推进“个转企、企转规、规转股、股转上”工程，综合施策培育市场主体。到2025年，主营业务收入超过亿元的企业达到5户以上，其中：10亿级企业1户，5亿级企业1户，1亿级企业3户。</w:t>
      </w:r>
    </w:p>
    <w:p w14:paraId="719040A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进市场拓展攻坚。一是牢固树立“四向拓展、全域开放”理念，深度融入“一带一路”建设、长江经济带发展等国家战略,借助西部陆海新通道、“东西部扶贫协作”“东西部产业转移”等平台，加强产销对接，组织在绥企业开展工业品集中宣传促销活动，扩大与泛珠三角及川渝产业合作，大力支持装备制造、医药等优势产品和辣椒、金银花、方竹等特色产品走出去。二是深化产业链配套协作，分行业开展供需精准对接活动，鼓励项目业主同等条件下就近购买使用本县产品、技术和服务。引导支持企业参加国内外知名展会，拓展市场空间和销售渠道，提升品牌知名度和市场影响力。三是紧盯重点消费群体，积极拓展集团化、群体性消费，培育新的消费热点。围绕重点建设项目深化供需合作，推动优质产品(服务)与新舟机场、省内高速等重要平台对接。四是加强重点市场终端产销对接，有针对性地引导消费品企业进入供应链、配送体系和终端市场。五是充分发挥行业协会、商会等社会组织作用，引导推动县内企业“走出去”。采取“政府搭台、市场运作、企业主体、社会参与”的营销联盟模式，引导企业广泛参与跨区域产销对接合作，支持工业企业利用互联网、大数据、人工智能等信息技术，创新营销模式，拓展营销渠道。每年组织企业参加省内外展销对接活动2次以上。</w:t>
      </w:r>
    </w:p>
    <w:p w14:paraId="7C53CE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动企业数字化改造。把数字化改造列为“千企改造”工程的重要内容，引导企业制定数字化改造方案，加快新技术运用，实现重要工业设备联网采集数据，加快推进关键工序数控化改造提升，实现设备运行状态实时可监测。支持企业内外网络改造升级。培育特定行业工业互联网平台。面向装备制造、电子信息、电力、能源、化工、医药健康等行业，支持龙头企业建设行业工业互联网平台，汇聚行业机理模型，形成流程优化、生产管控、远程运维、产品全生命周期管理等平台服务能力。推动工业设备上云。推动工程机械、数控机床等智能化设备，风电、光伏等新能源设备，工业窑炉、工业锅炉等高耗能流程行业设备，大中型电机、大型空压机等通用动力设备上云用云，提高设备运行效率和可靠性，降低资源能源消耗和维修成本。推进先进装备制造业智能制造应用、煤炭智能机械化建设。</w:t>
      </w:r>
    </w:p>
    <w:p w14:paraId="4153A66B">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55111DF0">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专栏4  重点工业建设项目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1A940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30DD138F">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kern w:val="0"/>
                <w:sz w:val="28"/>
                <w:szCs w:val="28"/>
              </w:rPr>
            </w:pPr>
            <w:r>
              <w:rPr>
                <w:rFonts w:hint="eastAsia" w:ascii="宋体" w:hAnsi="宋体" w:eastAsia="宋体" w:cs="宋体"/>
                <w:kern w:val="0"/>
                <w:sz w:val="28"/>
                <w:szCs w:val="28"/>
              </w:rPr>
              <w:t>风华工业园区二期路网（7号路、11号路、12号路）建设项目、风华镇中小企业产业园、原061老工业基地基础设施改造项目、宽阔瓷土开采与加工项目、铅锌矿洗选厂建设项目、固废物综合利用项目、尹家山煤矿建设项目、井坝煤矿建设项目、6万吨/年冶金工业尾气生物发酵法制燃料乙醇项目、建筑垃圾集中式资源化利用项目、芙蓉江竹编工艺制品生产项目、小关乡白石开发工程、食用菌精深加工建设项目、茅垭镇鲟鱼加工项目、宽阔特色农副产品加工产业园、辣椒制品加工产业园、高端精密铸件生产线技改项目、贵州省特种材料精密铸造智能化改造提升工程、中药材种植精深加工项目、环保食品塑料制品生产制造项目、中药材初、深加工及物流体系建设项目、年产36万吨饲料生产建设项目。</w:t>
            </w:r>
          </w:p>
        </w:tc>
      </w:tr>
    </w:tbl>
    <w:p w14:paraId="7CB23488">
      <w:pPr>
        <w:rPr>
          <w:rFonts w:hint="eastAsia" w:ascii="宋体" w:hAnsi="宋体" w:eastAsia="宋体" w:cs="宋体"/>
          <w:sz w:val="28"/>
          <w:szCs w:val="28"/>
        </w:rPr>
      </w:pPr>
    </w:p>
    <w:p w14:paraId="3344B9D4">
      <w:pPr>
        <w:rPr>
          <w:rFonts w:hint="eastAsia" w:ascii="宋体" w:hAnsi="宋体" w:eastAsia="宋体" w:cs="宋体"/>
          <w:sz w:val="28"/>
          <w:szCs w:val="28"/>
        </w:rPr>
      </w:pPr>
    </w:p>
    <w:p w14:paraId="28039F59">
      <w:pPr>
        <w:pStyle w:val="5"/>
        <w:ind w:left="640"/>
        <w:rPr>
          <w:rFonts w:hint="eastAsia" w:ascii="宋体" w:hAnsi="宋体" w:eastAsia="宋体" w:cs="宋体"/>
          <w:sz w:val="28"/>
          <w:szCs w:val="28"/>
        </w:rPr>
        <w:sectPr>
          <w:headerReference r:id="rId13" w:type="default"/>
          <w:pgSz w:w="8392" w:h="11850"/>
          <w:pgMar w:top="1247" w:right="879" w:bottom="1020" w:left="879" w:header="851" w:footer="992" w:gutter="0"/>
          <w:pgNumType w:fmt="decimal"/>
          <w:cols w:space="425" w:num="1"/>
          <w:rtlGutter w:val="0"/>
          <w:docGrid w:type="lines" w:linePitch="456" w:charSpace="0"/>
        </w:sectPr>
      </w:pPr>
      <w:r>
        <w:rPr>
          <w:rFonts w:hint="eastAsia" w:ascii="宋体" w:hAnsi="宋体" w:eastAsia="宋体" w:cs="宋体"/>
          <w:sz w:val="28"/>
          <w:szCs w:val="28"/>
        </w:rPr>
        <w:t xml:space="preserve">   </w:t>
      </w:r>
    </w:p>
    <w:p w14:paraId="5FE14CF2">
      <w:pPr>
        <w:numPr>
          <w:ilvl w:val="0"/>
          <w:numId w:val="3"/>
        </w:numPr>
        <w:spacing w:line="530" w:lineRule="exact"/>
        <w:jc w:val="center"/>
        <w:outlineLvl w:val="0"/>
        <w:rPr>
          <w:rFonts w:hint="eastAsia" w:ascii="宋体" w:hAnsi="宋体" w:eastAsia="宋体" w:cs="宋体"/>
          <w:b/>
          <w:bCs w:val="0"/>
          <w:sz w:val="36"/>
          <w:szCs w:val="36"/>
        </w:rPr>
      </w:pPr>
      <w:bookmarkStart w:id="26" w:name="_Toc10082"/>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大力推进新型城镇化，                   加快与主城区融合发展步伐</w:t>
      </w:r>
      <w:bookmarkEnd w:id="26"/>
    </w:p>
    <w:p w14:paraId="55A69456">
      <w:pPr>
        <w:tabs>
          <w:tab w:val="center" w:pos="4153"/>
          <w:tab w:val="right" w:pos="8306"/>
        </w:tabs>
        <w:adjustRightInd w:val="0"/>
        <w:spacing w:line="520" w:lineRule="exact"/>
        <w:ind w:firstLine="562" w:firstLineChars="200"/>
        <w:jc w:val="center"/>
        <w:rPr>
          <w:rFonts w:hint="eastAsia" w:ascii="宋体" w:hAnsi="宋体" w:eastAsia="宋体" w:cs="宋体"/>
          <w:b/>
          <w:sz w:val="28"/>
          <w:szCs w:val="28"/>
        </w:rPr>
      </w:pPr>
    </w:p>
    <w:p w14:paraId="6B48BB8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坚持以人为核心的新型城镇化，</w:t>
      </w:r>
      <w:bookmarkStart w:id="27" w:name="_Toc123901300"/>
      <w:r>
        <w:rPr>
          <w:rFonts w:hint="eastAsia" w:ascii="宋体" w:hAnsi="宋体" w:eastAsia="宋体" w:cs="宋体"/>
          <w:sz w:val="28"/>
          <w:szCs w:val="28"/>
        </w:rPr>
        <w:t>大力实施城镇化提升行动和县城区经济倍增计划，推动产城一体、城乡融合，加快与主城区融合发展，着力打造交通物流集散地，携手共建遵义都市圈</w:t>
      </w:r>
      <w:bookmarkEnd w:id="27"/>
      <w:r>
        <w:rPr>
          <w:rFonts w:hint="eastAsia" w:ascii="宋体" w:hAnsi="宋体" w:eastAsia="宋体" w:cs="宋体"/>
          <w:sz w:val="28"/>
          <w:szCs w:val="28"/>
        </w:rPr>
        <w:t>。</w:t>
      </w:r>
    </w:p>
    <w:p w14:paraId="18822BFC">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3C3763C0">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28" w:name="_Toc18516"/>
      <w:r>
        <w:rPr>
          <w:rFonts w:hint="eastAsia" w:ascii="宋体" w:hAnsi="宋体" w:eastAsia="宋体" w:cs="宋体"/>
          <w:b/>
          <w:bCs/>
          <w:sz w:val="28"/>
          <w:szCs w:val="28"/>
        </w:rPr>
        <w:t>持续推进区域协调发展格局</w:t>
      </w:r>
      <w:bookmarkEnd w:id="28"/>
      <w:bookmarkStart w:id="29" w:name="_Toc123901301"/>
      <w:bookmarkStart w:id="30" w:name="_Toc20276"/>
    </w:p>
    <w:p w14:paraId="51EA58D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树牢“一盘棋”思想，持续优化新型城镇化发展格局。按照“南拓北环、核心突破，东联西通”的区域协调发展格局，进一步增强以洋川为中心的城市定位，坚定“南拓”，衔接遵义都市圈，构建南部生态屏障；突出“北环”，充分发挥融入川渝的优势，抢抓成渝地区双城经济圈发展机遇，形成环状发展区域；推进“东联”，依托遵绥高速、绥正高速交通大通道优势，打造绿色产业样板区；加快“西通”，依托黔渝复线交通优势和芙蓉江发源地良好的生态旅游资源优势，厚植自然生态本底，发展壮大绿色经济。</w:t>
      </w:r>
      <w:bookmarkEnd w:id="29"/>
      <w:bookmarkEnd w:id="30"/>
    </w:p>
    <w:p w14:paraId="1DA21A7E">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73BB8CF9">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31" w:name="_Toc4523"/>
      <w:r>
        <w:rPr>
          <w:rFonts w:hint="eastAsia" w:ascii="宋体" w:hAnsi="宋体" w:eastAsia="宋体" w:cs="宋体"/>
          <w:b/>
          <w:bCs/>
          <w:sz w:val="28"/>
          <w:szCs w:val="28"/>
        </w:rPr>
        <w:t>加快推进与主城区融合发展</w:t>
      </w:r>
      <w:bookmarkEnd w:id="31"/>
    </w:p>
    <w:p w14:paraId="1017E63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围绕市委“一核两心三带多点”的城镇发展格局，加快与主城区融合发展步伐，加速同城化进程。</w:t>
      </w:r>
      <w:r>
        <w:rPr>
          <w:rFonts w:hint="eastAsia" w:ascii="宋体" w:hAnsi="宋体" w:eastAsia="宋体" w:cs="宋体"/>
          <w:bCs/>
          <w:sz w:val="28"/>
          <w:szCs w:val="28"/>
        </w:rPr>
        <w:t>着力推进规划同城，积极对接遵义都市圈规划，编制好专项规划，谋划一批利全局、管长远、惠民生的基础设施和产业项目。</w:t>
      </w:r>
      <w:r>
        <w:rPr>
          <w:rFonts w:hint="eastAsia" w:ascii="宋体" w:hAnsi="宋体" w:eastAsia="宋体" w:cs="宋体"/>
          <w:sz w:val="28"/>
          <w:szCs w:val="28"/>
        </w:rPr>
        <w:t>以遵义主城发展为依托，将洋川、郑场、蒲场、风华纳入主城区同步规划建设。</w:t>
      </w:r>
      <w:r>
        <w:rPr>
          <w:rFonts w:hint="eastAsia" w:ascii="宋体" w:hAnsi="宋体" w:eastAsia="宋体" w:cs="宋体"/>
          <w:bCs/>
          <w:sz w:val="28"/>
          <w:szCs w:val="28"/>
        </w:rPr>
        <w:t>力争把郑场打造成集航空、铁路、轨道交通、公路为一体的遵义市中心城区交通枢纽和物流集散地。着力推进交通同网，</w:t>
      </w:r>
      <w:r>
        <w:rPr>
          <w:rFonts w:hint="eastAsia" w:ascii="宋体" w:hAnsi="宋体" w:eastAsia="宋体" w:cs="宋体"/>
          <w:sz w:val="28"/>
          <w:szCs w:val="28"/>
        </w:rPr>
        <w:t>推动基础设施一体化，共建交通网络线，构建县城经郑场至新蒲、绥阳至汇川、蒲场至新蒲、黄鱼桥至新蒲四大城市廊道，力争新渝贵高铁、昭黔铁路过境绥阳并启动建设，推动绥阳通用机场建设。全面完成G75复线、桐新高速绥阳段建设。加强与汇川区、新蒲新区在城市干道、城市公交、城市管理与建设等领域的无缝对接和密切合作，推动交通由“直连直通”为“互联互通”。着力推进公共服务同标。积极开展医联体共建和综合医院对口托管，共促优质公共服务资源共享、社保服务同城对接、政务服务协同联动、教育资源服务延伸，增强城市综合承载能力，以融合发展创造高品质生活，不断满足人民对美好生活的期待。</w:t>
      </w:r>
    </w:p>
    <w:p w14:paraId="7117D4F3">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7848025F">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32" w:name="_Toc16149"/>
      <w:r>
        <w:rPr>
          <w:rFonts w:hint="eastAsia" w:ascii="宋体" w:hAnsi="宋体" w:eastAsia="宋体" w:cs="宋体"/>
          <w:b/>
          <w:bCs/>
          <w:sz w:val="28"/>
          <w:szCs w:val="28"/>
        </w:rPr>
        <w:t>加快提升城市品质</w:t>
      </w:r>
      <w:bookmarkEnd w:id="32"/>
    </w:p>
    <w:p w14:paraId="40ECCD5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产城景一体、山水田融合、文教医配套，按照市级统筹规划，加强城市建设与管理，加快县城区扩能提质，优化生态、生产、生活空间布局，塑造文化地标，提升城市风貌，深入实施宜居县城建设行动，建设和谐幸福美丽新绥阳。</w:t>
      </w:r>
    </w:p>
    <w:p w14:paraId="7229B17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施城市更新行动，加强城镇老旧小区、老旧街区、城中村改造和社区建设，合理控制开发强度，完成红旗东路片区改造。有效增加保障性住房供给。深化户籍制度改革，加快推进农业转移人口市民化。到2025年，累计实现新增转移农业人口10万左右。</w:t>
      </w:r>
    </w:p>
    <w:p w14:paraId="10FB74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快补齐城市基础设施短板，推进智慧城市、海绵城市、韧性城市建设。建立尊重自然、顺应自然的低影响海绵城市开发模式，开发利用地下空间，新建城市主干道路、城市新区、各类园区实施城市地下综合管廊，统筹电力、通信、给排水、燃气等地下管网建设、管理。统筹推进城镇路网建设，重点推进风华至泗渡、黄鱼桥至新蒲、蒲场至新蒲等市政干道建设等道路建设，加快绥阳与遵义市主城区同城化发展步伐。推进城市清洁能源供应设施建设，完善燃气输配、储备和供应保障系统，实现县域供气全覆盖。加强城镇污水处理及再生利用设施建设，推进雨污分流改造，提高城镇生活垃圾无害化处理能力。</w:t>
      </w:r>
    </w:p>
    <w:p w14:paraId="2B536A4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理布局城市功能。建设城市停车场和立体车库，在加油站、停车场等场所规划建设充电设施，探索组建新能源汽车动力保障体系。统筹布局建设学校、医疗卫生机构、文化设施、体育场所等公共服务设施，加强就业服务、社保经办和便民利民服务设施建设。健全完善社区功能，打造“一刻钟”居民生活圈，合理布局批发市场、农贸市场、综合超市、文体活动场所、仓储物流等配套设施，推进城市“邻里中心”建设，建设一批高端商住综合体和第四代住宅，促进房地产市场健康发展，吸引更多人群到绥阳购房定居。</w:t>
      </w:r>
    </w:p>
    <w:p w14:paraId="7F4D0D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进生态园林城市建设，持续巩固全国文明城市创建成果，全力创建省级园林城市。按照“300米见绿,500米见园”要求,推进“公园绿地10分钟生活圈”工程建设,着重增加城区公园游园数量,通过拆违建绿、破硬植绿、留白增绿、立体绿化等方式,增加社区公园、街头游园等小微绿地。加强雅泉湿地公园和螺江九曲公园基础配套设施建设，强化建后管理服务，实现互联互通。</w:t>
      </w:r>
    </w:p>
    <w:p w14:paraId="0708367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立以人民为中心、改善人居环境、提升城市服务功能的城市精细化城市管理体系。围绕市容环境、公用服务、市政设施、便民交通、居民小区、建筑工地、行政执法等管理内容，整合城市资源，构建“大城管”格局，实现管理体制上的突破。依照城市总体规划，将城市划分成若干功能区、将社区按照网格划分，提升城市精细化管理水平。</w:t>
      </w:r>
    </w:p>
    <w:p w14:paraId="4E283799">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6BD44BDE">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33" w:name="_Toc12471"/>
      <w:r>
        <w:rPr>
          <w:rFonts w:hint="eastAsia" w:ascii="宋体" w:hAnsi="宋体" w:eastAsia="宋体" w:cs="宋体"/>
          <w:b/>
          <w:bCs/>
          <w:sz w:val="28"/>
          <w:szCs w:val="28"/>
        </w:rPr>
        <w:t>推进特色小（城）镇发展</w:t>
      </w:r>
      <w:bookmarkEnd w:id="33"/>
    </w:p>
    <w:p w14:paraId="28DEC15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30"/>
          <w:szCs w:val="30"/>
        </w:rPr>
      </w:pPr>
      <w:r>
        <w:rPr>
          <w:rFonts w:hint="eastAsia" w:ascii="宋体" w:hAnsi="宋体" w:eastAsia="宋体" w:cs="宋体"/>
          <w:sz w:val="28"/>
          <w:szCs w:val="28"/>
        </w:rPr>
        <w:t>——坚持规划先行、分步打造的思路，体现区域差异性，突出形态多样性。引导社会资本和企业主体参与特色小（城）镇建设。立足乡镇要素禀赋和比较优势，挖掘最有基础、最有潜力、最能成长的特色产业，把区位条件好、产业基础好、发展潜力好的乡镇做特做强，打造温泉古镇、风华三线军工文旅小镇、郑场商贸物流小镇、蒲场美食小镇等特色小（城）镇。围绕产业集聚加强产业配套和功能配套，推进“一镇一特”小（城）镇体系建设，实现城镇建设和产业发展齐头并进、融合发展。到2025年，城镇化率达58%以上。</w:t>
      </w:r>
    </w:p>
    <w:p w14:paraId="1DEFF6C9">
      <w:pPr>
        <w:pStyle w:val="30"/>
        <w:spacing w:line="520" w:lineRule="exact"/>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专栏5 城镇的职能与发展定位</w:t>
      </w:r>
    </w:p>
    <w:tbl>
      <w:tblPr>
        <w:tblStyle w:val="15"/>
        <w:tblW w:w="7338"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5"/>
        <w:gridCol w:w="1065"/>
        <w:gridCol w:w="2085"/>
        <w:gridCol w:w="3073"/>
      </w:tblGrid>
      <w:tr w14:paraId="246752A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exact"/>
          <w:jc w:val="center"/>
        </w:trPr>
        <w:tc>
          <w:tcPr>
            <w:tcW w:w="1115" w:type="dxa"/>
            <w:tcBorders>
              <w:top w:val="single" w:color="auto" w:sz="4" w:space="0"/>
              <w:left w:val="single" w:color="000000" w:sz="4" w:space="0"/>
              <w:bottom w:val="single" w:color="000000" w:sz="4" w:space="0"/>
              <w:right w:val="single" w:color="000000" w:sz="4" w:space="0"/>
            </w:tcBorders>
            <w:vAlign w:val="center"/>
          </w:tcPr>
          <w:p w14:paraId="17C16BE7">
            <w:pPr>
              <w:widowControl/>
              <w:adjustRightInd w:val="0"/>
              <w:snapToGrid w:val="0"/>
              <w:spacing w:line="52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城镇等级</w:t>
            </w:r>
          </w:p>
        </w:tc>
        <w:tc>
          <w:tcPr>
            <w:tcW w:w="1065" w:type="dxa"/>
            <w:tcBorders>
              <w:top w:val="single" w:color="auto" w:sz="4" w:space="0"/>
              <w:bottom w:val="single" w:color="000000" w:sz="4" w:space="0"/>
              <w:right w:val="single" w:color="000000" w:sz="4" w:space="0"/>
            </w:tcBorders>
            <w:vAlign w:val="center"/>
          </w:tcPr>
          <w:p w14:paraId="672760D1">
            <w:pPr>
              <w:widowControl/>
              <w:adjustRightInd w:val="0"/>
              <w:snapToGrid w:val="0"/>
              <w:spacing w:line="52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城镇名称</w:t>
            </w:r>
          </w:p>
        </w:tc>
        <w:tc>
          <w:tcPr>
            <w:tcW w:w="2085" w:type="dxa"/>
            <w:tcBorders>
              <w:top w:val="single" w:color="auto" w:sz="4" w:space="0"/>
              <w:bottom w:val="single" w:color="000000" w:sz="4" w:space="0"/>
              <w:right w:val="single" w:color="000000" w:sz="4" w:space="0"/>
            </w:tcBorders>
            <w:vAlign w:val="center"/>
          </w:tcPr>
          <w:p w14:paraId="64014846">
            <w:pPr>
              <w:widowControl/>
              <w:adjustRightInd w:val="0"/>
              <w:snapToGrid w:val="0"/>
              <w:spacing w:line="52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职 能</w:t>
            </w:r>
          </w:p>
        </w:tc>
        <w:tc>
          <w:tcPr>
            <w:tcW w:w="3073" w:type="dxa"/>
            <w:tcBorders>
              <w:top w:val="single" w:color="auto" w:sz="4" w:space="0"/>
              <w:bottom w:val="single" w:color="000000" w:sz="4" w:space="0"/>
              <w:right w:val="single" w:color="000000" w:sz="4" w:space="0"/>
            </w:tcBorders>
            <w:vAlign w:val="center"/>
          </w:tcPr>
          <w:p w14:paraId="05E8142A">
            <w:pPr>
              <w:widowControl/>
              <w:adjustRightInd w:val="0"/>
              <w:snapToGrid w:val="0"/>
              <w:spacing w:line="52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发展方向</w:t>
            </w:r>
          </w:p>
        </w:tc>
      </w:tr>
      <w:tr w14:paraId="03F679F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3" w:hRule="atLeast"/>
          <w:jc w:val="center"/>
        </w:trPr>
        <w:tc>
          <w:tcPr>
            <w:tcW w:w="1115" w:type="dxa"/>
            <w:tcBorders>
              <w:left w:val="single" w:color="000000" w:sz="4" w:space="0"/>
              <w:bottom w:val="single" w:color="000000" w:sz="4" w:space="0"/>
              <w:right w:val="single" w:color="000000" w:sz="4" w:space="0"/>
            </w:tcBorders>
            <w:vAlign w:val="center"/>
          </w:tcPr>
          <w:p w14:paraId="24C23A2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中心城镇</w:t>
            </w:r>
          </w:p>
        </w:tc>
        <w:tc>
          <w:tcPr>
            <w:tcW w:w="1065" w:type="dxa"/>
            <w:tcBorders>
              <w:bottom w:val="single" w:color="000000" w:sz="4" w:space="0"/>
              <w:right w:val="single" w:color="000000" w:sz="4" w:space="0"/>
            </w:tcBorders>
            <w:vAlign w:val="center"/>
          </w:tcPr>
          <w:p w14:paraId="6EB3DEA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洋川街道</w:t>
            </w:r>
          </w:p>
        </w:tc>
        <w:tc>
          <w:tcPr>
            <w:tcW w:w="2085" w:type="dxa"/>
            <w:tcBorders>
              <w:bottom w:val="single" w:color="000000" w:sz="4" w:space="0"/>
              <w:right w:val="single" w:color="000000" w:sz="4" w:space="0"/>
            </w:tcBorders>
            <w:vAlign w:val="center"/>
          </w:tcPr>
          <w:p w14:paraId="3401F97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全县政治、经济、文化中心</w:t>
            </w:r>
          </w:p>
        </w:tc>
        <w:tc>
          <w:tcPr>
            <w:tcW w:w="3073" w:type="dxa"/>
            <w:tcBorders>
              <w:bottom w:val="single" w:color="000000" w:sz="4" w:space="0"/>
              <w:right w:val="single" w:color="000000" w:sz="4" w:space="0"/>
            </w:tcBorders>
            <w:vAlign w:val="center"/>
          </w:tcPr>
          <w:p w14:paraId="711219DC">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重点发展优质地产、教育培训、电子商务等现代综合性服务业</w:t>
            </w:r>
          </w:p>
        </w:tc>
      </w:tr>
      <w:tr w14:paraId="5295E8F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2" w:hRule="atLeast"/>
          <w:jc w:val="center"/>
        </w:trPr>
        <w:tc>
          <w:tcPr>
            <w:tcW w:w="1115" w:type="dxa"/>
            <w:vMerge w:val="restart"/>
            <w:tcBorders>
              <w:left w:val="single" w:color="000000" w:sz="4" w:space="0"/>
              <w:bottom w:val="single" w:color="000000" w:sz="4" w:space="0"/>
              <w:right w:val="single" w:color="000000" w:sz="4" w:space="0"/>
            </w:tcBorders>
            <w:vAlign w:val="center"/>
          </w:tcPr>
          <w:p w14:paraId="7DD1010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kern w:val="0"/>
                <w:sz w:val="25"/>
                <w:szCs w:val="25"/>
              </w:rPr>
            </w:pPr>
            <w:r>
              <w:rPr>
                <w:rFonts w:hint="eastAsia" w:ascii="宋体" w:hAnsi="宋体" w:eastAsia="宋体" w:cs="宋体"/>
                <w:kern w:val="0"/>
                <w:sz w:val="25"/>
                <w:szCs w:val="25"/>
              </w:rPr>
              <w:t>次中心</w:t>
            </w:r>
          </w:p>
          <w:p w14:paraId="66A5989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城镇</w:t>
            </w:r>
          </w:p>
        </w:tc>
        <w:tc>
          <w:tcPr>
            <w:tcW w:w="1065" w:type="dxa"/>
            <w:tcBorders>
              <w:bottom w:val="single" w:color="000000" w:sz="4" w:space="0"/>
              <w:right w:val="single" w:color="000000" w:sz="4" w:space="0"/>
            </w:tcBorders>
            <w:vAlign w:val="center"/>
          </w:tcPr>
          <w:p w14:paraId="3F689DF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风华镇</w:t>
            </w:r>
          </w:p>
        </w:tc>
        <w:tc>
          <w:tcPr>
            <w:tcW w:w="2085" w:type="dxa"/>
            <w:tcBorders>
              <w:bottom w:val="single" w:color="000000" w:sz="4" w:space="0"/>
              <w:right w:val="single" w:color="000000" w:sz="4" w:space="0"/>
            </w:tcBorders>
            <w:vAlign w:val="center"/>
          </w:tcPr>
          <w:p w14:paraId="2634BA3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sz w:val="25"/>
                <w:szCs w:val="25"/>
              </w:rPr>
              <w:t>三线文化特色小镇</w:t>
            </w:r>
          </w:p>
        </w:tc>
        <w:tc>
          <w:tcPr>
            <w:tcW w:w="3073" w:type="dxa"/>
            <w:tcBorders>
              <w:bottom w:val="single" w:color="000000" w:sz="4" w:space="0"/>
              <w:right w:val="single" w:color="000000" w:sz="4" w:space="0"/>
            </w:tcBorders>
            <w:vAlign w:val="center"/>
          </w:tcPr>
          <w:p w14:paraId="20CEC923">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接力经开区，加速新型工业化</w:t>
            </w:r>
          </w:p>
        </w:tc>
      </w:tr>
      <w:tr w14:paraId="6969F9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3" w:hRule="atLeast"/>
          <w:jc w:val="center"/>
        </w:trPr>
        <w:tc>
          <w:tcPr>
            <w:tcW w:w="1115" w:type="dxa"/>
            <w:vMerge w:val="continue"/>
            <w:tcBorders>
              <w:left w:val="single" w:color="000000" w:sz="4" w:space="0"/>
              <w:bottom w:val="single" w:color="000000" w:sz="4" w:space="0"/>
              <w:right w:val="single" w:color="000000" w:sz="4" w:space="0"/>
            </w:tcBorders>
            <w:vAlign w:val="center"/>
          </w:tcPr>
          <w:p w14:paraId="64D920E4">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58BAB4B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蒲场镇</w:t>
            </w:r>
          </w:p>
        </w:tc>
        <w:tc>
          <w:tcPr>
            <w:tcW w:w="2085" w:type="dxa"/>
            <w:tcBorders>
              <w:bottom w:val="single" w:color="000000" w:sz="4" w:space="0"/>
              <w:right w:val="single" w:color="000000" w:sz="4" w:space="0"/>
            </w:tcBorders>
            <w:vAlign w:val="center"/>
          </w:tcPr>
          <w:p w14:paraId="220292F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工农旅融合型城镇</w:t>
            </w:r>
          </w:p>
        </w:tc>
        <w:tc>
          <w:tcPr>
            <w:tcW w:w="3073" w:type="dxa"/>
            <w:tcBorders>
              <w:bottom w:val="single" w:color="000000" w:sz="4" w:space="0"/>
              <w:right w:val="single" w:color="000000" w:sz="4" w:space="0"/>
            </w:tcBorders>
            <w:vAlign w:val="center"/>
          </w:tcPr>
          <w:p w14:paraId="6C8E9EBF">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重点建设新型工业集聚地；发展现代农业；提炼儒溪文化品牌；打造美食小镇</w:t>
            </w:r>
          </w:p>
        </w:tc>
      </w:tr>
      <w:tr w14:paraId="203DD7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2" w:hRule="atLeast"/>
          <w:jc w:val="center"/>
        </w:trPr>
        <w:tc>
          <w:tcPr>
            <w:tcW w:w="1115" w:type="dxa"/>
            <w:vMerge w:val="continue"/>
            <w:tcBorders>
              <w:left w:val="single" w:color="000000" w:sz="4" w:space="0"/>
              <w:bottom w:val="single" w:color="auto" w:sz="4" w:space="0"/>
              <w:right w:val="single" w:color="000000" w:sz="4" w:space="0"/>
            </w:tcBorders>
            <w:vAlign w:val="center"/>
          </w:tcPr>
          <w:p w14:paraId="438A3244">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2A6CDC6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郑场镇</w:t>
            </w:r>
          </w:p>
        </w:tc>
        <w:tc>
          <w:tcPr>
            <w:tcW w:w="2085" w:type="dxa"/>
            <w:tcBorders>
              <w:bottom w:val="single" w:color="000000" w:sz="4" w:space="0"/>
              <w:right w:val="single" w:color="000000" w:sz="4" w:space="0"/>
            </w:tcBorders>
            <w:vAlign w:val="center"/>
          </w:tcPr>
          <w:p w14:paraId="6BFF0BE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物流商贸中心</w:t>
            </w:r>
          </w:p>
        </w:tc>
        <w:tc>
          <w:tcPr>
            <w:tcW w:w="3073" w:type="dxa"/>
            <w:tcBorders>
              <w:bottom w:val="single" w:color="000000" w:sz="4" w:space="0"/>
              <w:right w:val="single" w:color="000000" w:sz="4" w:space="0"/>
            </w:tcBorders>
            <w:vAlign w:val="center"/>
          </w:tcPr>
          <w:p w14:paraId="56953E2D">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重点发展农产品贸易</w:t>
            </w:r>
            <w:r>
              <w:rPr>
                <w:rStyle w:val="31"/>
                <w:rFonts w:hint="eastAsia" w:ascii="宋体" w:hAnsi="宋体" w:eastAsia="宋体" w:cs="宋体"/>
                <w:color w:val="auto"/>
                <w:sz w:val="25"/>
                <w:szCs w:val="25"/>
              </w:rPr>
              <w:t>；</w:t>
            </w:r>
            <w:r>
              <w:rPr>
                <w:rFonts w:hint="eastAsia" w:ascii="宋体" w:hAnsi="宋体" w:eastAsia="宋体" w:cs="宋体"/>
                <w:kern w:val="0"/>
                <w:sz w:val="25"/>
                <w:szCs w:val="25"/>
              </w:rPr>
              <w:t>着重发挥服务业、物流业集聚的规模效应</w:t>
            </w:r>
          </w:p>
        </w:tc>
      </w:tr>
      <w:tr w14:paraId="45CE1BF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115" w:type="dxa"/>
            <w:vMerge w:val="restart"/>
            <w:tcBorders>
              <w:top w:val="single" w:color="auto" w:sz="4" w:space="0"/>
              <w:left w:val="single" w:color="000000" w:sz="4" w:space="0"/>
              <w:right w:val="single" w:color="000000" w:sz="4" w:space="0"/>
            </w:tcBorders>
            <w:vAlign w:val="center"/>
          </w:tcPr>
          <w:p w14:paraId="7BF4B6E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重点城镇</w:t>
            </w:r>
          </w:p>
        </w:tc>
        <w:tc>
          <w:tcPr>
            <w:tcW w:w="1065" w:type="dxa"/>
            <w:tcBorders>
              <w:bottom w:val="single" w:color="auto" w:sz="4" w:space="0"/>
              <w:right w:val="single" w:color="000000" w:sz="4" w:space="0"/>
            </w:tcBorders>
            <w:vAlign w:val="center"/>
          </w:tcPr>
          <w:p w14:paraId="530118F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旺草镇</w:t>
            </w:r>
          </w:p>
        </w:tc>
        <w:tc>
          <w:tcPr>
            <w:tcW w:w="2085" w:type="dxa"/>
            <w:tcBorders>
              <w:bottom w:val="single" w:color="auto" w:sz="4" w:space="0"/>
              <w:right w:val="single" w:color="000000" w:sz="4" w:space="0"/>
            </w:tcBorders>
            <w:vAlign w:val="center"/>
          </w:tcPr>
          <w:p w14:paraId="212C25C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现代农业示范城镇</w:t>
            </w:r>
          </w:p>
        </w:tc>
        <w:tc>
          <w:tcPr>
            <w:tcW w:w="3073" w:type="dxa"/>
            <w:tcBorders>
              <w:bottom w:val="single" w:color="auto" w:sz="4" w:space="0"/>
              <w:right w:val="single" w:color="000000" w:sz="4" w:space="0"/>
            </w:tcBorders>
            <w:vAlign w:val="center"/>
          </w:tcPr>
          <w:p w14:paraId="6E905582">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重点打造省级农业示范园区；发展特色农旅融合和农副产品加工业</w:t>
            </w:r>
          </w:p>
        </w:tc>
      </w:tr>
      <w:tr w14:paraId="3BF3B38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5" w:hRule="atLeast"/>
          <w:jc w:val="center"/>
        </w:trPr>
        <w:tc>
          <w:tcPr>
            <w:tcW w:w="1115" w:type="dxa"/>
            <w:vMerge w:val="continue"/>
            <w:tcBorders>
              <w:left w:val="single" w:color="000000" w:sz="4" w:space="0"/>
              <w:bottom w:val="single" w:color="000000" w:sz="4" w:space="0"/>
              <w:right w:val="single" w:color="000000" w:sz="4" w:space="0"/>
            </w:tcBorders>
            <w:vAlign w:val="center"/>
          </w:tcPr>
          <w:p w14:paraId="446166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kern w:val="0"/>
                <w:sz w:val="25"/>
                <w:szCs w:val="25"/>
              </w:rPr>
            </w:pPr>
          </w:p>
        </w:tc>
        <w:tc>
          <w:tcPr>
            <w:tcW w:w="1065" w:type="dxa"/>
            <w:tcBorders>
              <w:bottom w:val="single" w:color="000000" w:sz="4" w:space="0"/>
              <w:right w:val="single" w:color="000000" w:sz="4" w:space="0"/>
            </w:tcBorders>
            <w:vAlign w:val="center"/>
          </w:tcPr>
          <w:p w14:paraId="0990A39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kern w:val="0"/>
                <w:sz w:val="25"/>
                <w:szCs w:val="25"/>
              </w:rPr>
            </w:pPr>
            <w:r>
              <w:rPr>
                <w:rFonts w:hint="eastAsia" w:ascii="宋体" w:hAnsi="宋体" w:eastAsia="宋体" w:cs="宋体"/>
                <w:kern w:val="0"/>
                <w:sz w:val="25"/>
                <w:szCs w:val="25"/>
              </w:rPr>
              <w:t>青杠塘镇</w:t>
            </w:r>
          </w:p>
        </w:tc>
        <w:tc>
          <w:tcPr>
            <w:tcW w:w="2085" w:type="dxa"/>
            <w:tcBorders>
              <w:bottom w:val="single" w:color="000000" w:sz="4" w:space="0"/>
              <w:right w:val="single" w:color="000000" w:sz="4" w:space="0"/>
            </w:tcBorders>
            <w:vAlign w:val="center"/>
          </w:tcPr>
          <w:p w14:paraId="4CC2F7F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kern w:val="0"/>
                <w:sz w:val="25"/>
                <w:szCs w:val="25"/>
              </w:rPr>
            </w:pPr>
            <w:r>
              <w:rPr>
                <w:rFonts w:hint="eastAsia" w:ascii="宋体" w:hAnsi="宋体" w:eastAsia="宋体" w:cs="宋体"/>
                <w:kern w:val="0"/>
                <w:sz w:val="25"/>
                <w:szCs w:val="25"/>
              </w:rPr>
              <w:t>农旅融合示范城镇</w:t>
            </w:r>
          </w:p>
        </w:tc>
        <w:tc>
          <w:tcPr>
            <w:tcW w:w="3073" w:type="dxa"/>
            <w:tcBorders>
              <w:bottom w:val="single" w:color="000000" w:sz="4" w:space="0"/>
              <w:right w:val="single" w:color="000000" w:sz="4" w:space="0"/>
            </w:tcBorders>
            <w:vAlign w:val="center"/>
          </w:tcPr>
          <w:p w14:paraId="792F6AB0">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kern w:val="0"/>
                <w:sz w:val="25"/>
                <w:szCs w:val="25"/>
              </w:rPr>
            </w:pPr>
            <w:r>
              <w:rPr>
                <w:rFonts w:hint="eastAsia" w:ascii="宋体" w:hAnsi="宋体" w:eastAsia="宋体" w:cs="宋体"/>
                <w:kern w:val="0"/>
                <w:sz w:val="25"/>
                <w:szCs w:val="25"/>
              </w:rPr>
              <w:t>重点发展旅游业和农副产品商贸物流业，发展生态有机农业</w:t>
            </w:r>
          </w:p>
        </w:tc>
      </w:tr>
      <w:tr w14:paraId="3F74FB5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jc w:val="center"/>
        </w:trPr>
        <w:tc>
          <w:tcPr>
            <w:tcW w:w="1115" w:type="dxa"/>
            <w:vMerge w:val="restart"/>
            <w:tcBorders>
              <w:left w:val="single" w:color="000000" w:sz="4" w:space="0"/>
              <w:bottom w:val="single" w:color="000000" w:sz="4" w:space="0"/>
              <w:right w:val="single" w:color="000000" w:sz="4" w:space="0"/>
            </w:tcBorders>
            <w:vAlign w:val="center"/>
          </w:tcPr>
          <w:p w14:paraId="64BD74B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eastAsia" w:ascii="宋体" w:hAnsi="宋体" w:eastAsia="宋体" w:cs="宋体"/>
                <w:sz w:val="25"/>
                <w:szCs w:val="25"/>
              </w:rPr>
            </w:pPr>
            <w:r>
              <w:rPr>
                <w:rFonts w:hint="eastAsia" w:ascii="宋体" w:hAnsi="宋体" w:eastAsia="宋体" w:cs="宋体"/>
                <w:kern w:val="0"/>
                <w:sz w:val="25"/>
                <w:szCs w:val="25"/>
              </w:rPr>
              <w:t>一般乡镇</w:t>
            </w:r>
          </w:p>
        </w:tc>
        <w:tc>
          <w:tcPr>
            <w:tcW w:w="1065" w:type="dxa"/>
            <w:tcBorders>
              <w:bottom w:val="single" w:color="000000" w:sz="4" w:space="0"/>
              <w:right w:val="single" w:color="000000" w:sz="4" w:space="0"/>
            </w:tcBorders>
            <w:vAlign w:val="center"/>
          </w:tcPr>
          <w:p w14:paraId="17AF38D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黄杨镇</w:t>
            </w:r>
          </w:p>
        </w:tc>
        <w:tc>
          <w:tcPr>
            <w:tcW w:w="2085" w:type="dxa"/>
            <w:tcBorders>
              <w:bottom w:val="single" w:color="000000" w:sz="4" w:space="0"/>
              <w:right w:val="single" w:color="000000" w:sz="4" w:space="0"/>
            </w:tcBorders>
            <w:vAlign w:val="center"/>
          </w:tcPr>
          <w:p w14:paraId="5844270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工农综合型城镇</w:t>
            </w:r>
          </w:p>
        </w:tc>
        <w:tc>
          <w:tcPr>
            <w:tcW w:w="3073" w:type="dxa"/>
            <w:tcBorders>
              <w:bottom w:val="single" w:color="000000" w:sz="4" w:space="0"/>
              <w:right w:val="single" w:color="000000" w:sz="4" w:space="0"/>
            </w:tcBorders>
            <w:vAlign w:val="center"/>
          </w:tcPr>
          <w:p w14:paraId="273578F2">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壮大小米辣加工业</w:t>
            </w:r>
            <w:r>
              <w:rPr>
                <w:rStyle w:val="31"/>
                <w:rFonts w:hint="eastAsia" w:ascii="宋体" w:hAnsi="宋体" w:eastAsia="宋体" w:cs="宋体"/>
                <w:color w:val="auto"/>
                <w:sz w:val="25"/>
                <w:szCs w:val="25"/>
              </w:rPr>
              <w:t>；</w:t>
            </w:r>
            <w:r>
              <w:rPr>
                <w:rFonts w:hint="eastAsia" w:ascii="宋体" w:hAnsi="宋体" w:eastAsia="宋体" w:cs="宋体"/>
                <w:kern w:val="0"/>
                <w:sz w:val="25"/>
                <w:szCs w:val="25"/>
              </w:rPr>
              <w:t>做好绥阳县小米辣产业园；发展生猪养殖业</w:t>
            </w:r>
          </w:p>
        </w:tc>
      </w:tr>
      <w:tr w14:paraId="3C3F10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jc w:val="center"/>
        </w:trPr>
        <w:tc>
          <w:tcPr>
            <w:tcW w:w="1115" w:type="dxa"/>
            <w:vMerge w:val="continue"/>
            <w:tcBorders>
              <w:left w:val="single" w:color="000000" w:sz="4" w:space="0"/>
              <w:bottom w:val="single" w:color="000000" w:sz="4" w:space="0"/>
              <w:right w:val="single" w:color="000000" w:sz="4" w:space="0"/>
            </w:tcBorders>
            <w:vAlign w:val="center"/>
          </w:tcPr>
          <w:p w14:paraId="61515B9B">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4641AAC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宽阔镇</w:t>
            </w:r>
          </w:p>
        </w:tc>
        <w:tc>
          <w:tcPr>
            <w:tcW w:w="2085" w:type="dxa"/>
            <w:tcBorders>
              <w:bottom w:val="single" w:color="000000" w:sz="4" w:space="0"/>
              <w:right w:val="single" w:color="000000" w:sz="4" w:space="0"/>
            </w:tcBorders>
            <w:vAlign w:val="center"/>
          </w:tcPr>
          <w:p w14:paraId="15B559A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工农旅综合型城镇</w:t>
            </w:r>
          </w:p>
        </w:tc>
        <w:tc>
          <w:tcPr>
            <w:tcW w:w="3073" w:type="dxa"/>
            <w:tcBorders>
              <w:bottom w:val="single" w:color="000000" w:sz="4" w:space="0"/>
              <w:right w:val="single" w:color="000000" w:sz="4" w:space="0"/>
            </w:tcBorders>
            <w:vAlign w:val="center"/>
          </w:tcPr>
          <w:p w14:paraId="79431660">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打造优质烤烟、方竹种植基地；能矿工业基地；旅游纳凉目的地</w:t>
            </w:r>
          </w:p>
        </w:tc>
      </w:tr>
      <w:tr w14:paraId="633A92B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8" w:hRule="atLeast"/>
          <w:jc w:val="center"/>
        </w:trPr>
        <w:tc>
          <w:tcPr>
            <w:tcW w:w="1115" w:type="dxa"/>
            <w:vMerge w:val="continue"/>
            <w:tcBorders>
              <w:left w:val="single" w:color="000000" w:sz="4" w:space="0"/>
              <w:bottom w:val="single" w:color="000000" w:sz="4" w:space="0"/>
              <w:right w:val="single" w:color="000000" w:sz="4" w:space="0"/>
            </w:tcBorders>
            <w:vAlign w:val="center"/>
          </w:tcPr>
          <w:p w14:paraId="29E0FC8A">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3E8E36D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枧坝镇</w:t>
            </w:r>
          </w:p>
        </w:tc>
        <w:tc>
          <w:tcPr>
            <w:tcW w:w="2085" w:type="dxa"/>
            <w:tcBorders>
              <w:bottom w:val="single" w:color="000000" w:sz="4" w:space="0"/>
              <w:right w:val="single" w:color="000000" w:sz="4" w:space="0"/>
            </w:tcBorders>
            <w:vAlign w:val="center"/>
          </w:tcPr>
          <w:p w14:paraId="2EC4FDD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工业及旅游综合型城镇</w:t>
            </w:r>
          </w:p>
        </w:tc>
        <w:tc>
          <w:tcPr>
            <w:tcW w:w="3073" w:type="dxa"/>
            <w:tcBorders>
              <w:bottom w:val="single" w:color="000000" w:sz="4" w:space="0"/>
              <w:right w:val="single" w:color="000000" w:sz="4" w:space="0"/>
            </w:tcBorders>
            <w:vAlign w:val="center"/>
          </w:tcPr>
          <w:p w14:paraId="11BF95EF">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发展煤炭工业；烤烟生产；打造特色旅游小镇</w:t>
            </w:r>
          </w:p>
        </w:tc>
      </w:tr>
      <w:tr w14:paraId="662358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jc w:val="center"/>
        </w:trPr>
        <w:tc>
          <w:tcPr>
            <w:tcW w:w="1115" w:type="dxa"/>
            <w:vMerge w:val="continue"/>
            <w:tcBorders>
              <w:left w:val="single" w:color="000000" w:sz="4" w:space="0"/>
              <w:bottom w:val="single" w:color="000000" w:sz="4" w:space="0"/>
              <w:right w:val="single" w:color="000000" w:sz="4" w:space="0"/>
            </w:tcBorders>
            <w:vAlign w:val="center"/>
          </w:tcPr>
          <w:p w14:paraId="12CB8BD0">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22FA3D4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茅垭镇</w:t>
            </w:r>
          </w:p>
        </w:tc>
        <w:tc>
          <w:tcPr>
            <w:tcW w:w="2085" w:type="dxa"/>
            <w:tcBorders>
              <w:bottom w:val="single" w:color="000000" w:sz="4" w:space="0"/>
              <w:right w:val="single" w:color="000000" w:sz="4" w:space="0"/>
            </w:tcBorders>
            <w:vAlign w:val="center"/>
          </w:tcPr>
          <w:p w14:paraId="5BAEF68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农旅综合型城镇</w:t>
            </w:r>
          </w:p>
        </w:tc>
        <w:tc>
          <w:tcPr>
            <w:tcW w:w="3073" w:type="dxa"/>
            <w:tcBorders>
              <w:bottom w:val="single" w:color="000000" w:sz="4" w:space="0"/>
              <w:right w:val="single" w:color="000000" w:sz="4" w:space="0"/>
            </w:tcBorders>
            <w:vAlign w:val="center"/>
          </w:tcPr>
          <w:p w14:paraId="065011EB">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打造综合型现代休闲农业示范区</w:t>
            </w:r>
            <w:r>
              <w:rPr>
                <w:rStyle w:val="31"/>
                <w:rFonts w:hint="eastAsia" w:ascii="宋体" w:hAnsi="宋体" w:eastAsia="宋体" w:cs="宋体"/>
                <w:color w:val="auto"/>
                <w:sz w:val="25"/>
                <w:szCs w:val="25"/>
              </w:rPr>
              <w:t>；</w:t>
            </w:r>
            <w:r>
              <w:rPr>
                <w:rFonts w:hint="eastAsia" w:ascii="宋体" w:hAnsi="宋体" w:eastAsia="宋体" w:cs="宋体"/>
                <w:kern w:val="0"/>
                <w:sz w:val="25"/>
                <w:szCs w:val="25"/>
              </w:rPr>
              <w:t>大力发展农副产品加工业</w:t>
            </w:r>
          </w:p>
        </w:tc>
      </w:tr>
      <w:tr w14:paraId="7FCAF54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2" w:hRule="atLeast"/>
          <w:jc w:val="center"/>
        </w:trPr>
        <w:tc>
          <w:tcPr>
            <w:tcW w:w="1115" w:type="dxa"/>
            <w:vMerge w:val="continue"/>
            <w:tcBorders>
              <w:left w:val="single" w:color="000000" w:sz="4" w:space="0"/>
              <w:bottom w:val="single" w:color="000000" w:sz="4" w:space="0"/>
              <w:right w:val="single" w:color="000000" w:sz="4" w:space="0"/>
            </w:tcBorders>
            <w:vAlign w:val="center"/>
          </w:tcPr>
          <w:p w14:paraId="4F5E879D">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23F2706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温泉镇</w:t>
            </w:r>
          </w:p>
        </w:tc>
        <w:tc>
          <w:tcPr>
            <w:tcW w:w="2085" w:type="dxa"/>
            <w:tcBorders>
              <w:bottom w:val="single" w:color="000000" w:sz="4" w:space="0"/>
              <w:right w:val="single" w:color="000000" w:sz="4" w:space="0"/>
            </w:tcBorders>
            <w:vAlign w:val="center"/>
          </w:tcPr>
          <w:p w14:paraId="3EF4298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旅游示范型城镇</w:t>
            </w:r>
          </w:p>
        </w:tc>
        <w:tc>
          <w:tcPr>
            <w:tcW w:w="3073" w:type="dxa"/>
            <w:tcBorders>
              <w:bottom w:val="single" w:color="000000" w:sz="4" w:space="0"/>
              <w:right w:val="single" w:color="000000" w:sz="4" w:space="0"/>
            </w:tcBorders>
            <w:vAlign w:val="center"/>
          </w:tcPr>
          <w:p w14:paraId="6A69342A">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Style w:val="31"/>
                <w:rFonts w:hint="eastAsia" w:ascii="宋体" w:hAnsi="宋体" w:eastAsia="宋体" w:cs="宋体"/>
                <w:color w:val="auto"/>
                <w:sz w:val="25"/>
                <w:szCs w:val="25"/>
              </w:rPr>
            </w:pPr>
            <w:r>
              <w:rPr>
                <w:rFonts w:hint="eastAsia" w:ascii="宋体" w:hAnsi="宋体" w:eastAsia="宋体" w:cs="宋体"/>
                <w:kern w:val="0"/>
                <w:sz w:val="25"/>
                <w:szCs w:val="25"/>
              </w:rPr>
              <w:t>发展生态旅游业，提升特色旅游资源价值</w:t>
            </w:r>
          </w:p>
        </w:tc>
      </w:tr>
      <w:tr w14:paraId="247552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2" w:hRule="atLeast"/>
          <w:jc w:val="center"/>
        </w:trPr>
        <w:tc>
          <w:tcPr>
            <w:tcW w:w="1115" w:type="dxa"/>
            <w:vMerge w:val="continue"/>
            <w:tcBorders>
              <w:left w:val="single" w:color="000000" w:sz="4" w:space="0"/>
              <w:bottom w:val="single" w:color="000000" w:sz="4" w:space="0"/>
              <w:right w:val="single" w:color="000000" w:sz="4" w:space="0"/>
            </w:tcBorders>
            <w:vAlign w:val="center"/>
          </w:tcPr>
          <w:p w14:paraId="33D70CF3">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085931B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太白镇</w:t>
            </w:r>
          </w:p>
        </w:tc>
        <w:tc>
          <w:tcPr>
            <w:tcW w:w="2085" w:type="dxa"/>
            <w:tcBorders>
              <w:bottom w:val="single" w:color="000000" w:sz="4" w:space="0"/>
              <w:right w:val="single" w:color="000000" w:sz="4" w:space="0"/>
            </w:tcBorders>
            <w:vAlign w:val="center"/>
          </w:tcPr>
          <w:p w14:paraId="5532997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农旅综合型城镇</w:t>
            </w:r>
          </w:p>
        </w:tc>
        <w:tc>
          <w:tcPr>
            <w:tcW w:w="3073" w:type="dxa"/>
            <w:tcBorders>
              <w:bottom w:val="single" w:color="000000" w:sz="4" w:space="0"/>
              <w:right w:val="single" w:color="000000" w:sz="4" w:space="0"/>
            </w:tcBorders>
            <w:vAlign w:val="center"/>
          </w:tcPr>
          <w:p w14:paraId="54E76612">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重点发展方竹笋等现代农业；加快发展生态旅游业</w:t>
            </w:r>
          </w:p>
        </w:tc>
      </w:tr>
      <w:tr w14:paraId="776E788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jc w:val="center"/>
        </w:trPr>
        <w:tc>
          <w:tcPr>
            <w:tcW w:w="1115" w:type="dxa"/>
            <w:vMerge w:val="continue"/>
            <w:tcBorders>
              <w:left w:val="single" w:color="000000" w:sz="4" w:space="0"/>
              <w:bottom w:val="single" w:color="000000" w:sz="4" w:space="0"/>
              <w:right w:val="single" w:color="000000" w:sz="4" w:space="0"/>
            </w:tcBorders>
            <w:vAlign w:val="center"/>
          </w:tcPr>
          <w:p w14:paraId="0CAB6BA0">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7420D56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kern w:val="0"/>
                <w:sz w:val="25"/>
                <w:szCs w:val="25"/>
              </w:rPr>
            </w:pPr>
            <w:r>
              <w:rPr>
                <w:rFonts w:hint="eastAsia" w:ascii="宋体" w:hAnsi="宋体" w:eastAsia="宋体" w:cs="宋体"/>
                <w:kern w:val="0"/>
                <w:sz w:val="25"/>
                <w:szCs w:val="25"/>
              </w:rPr>
              <w:t>坪乐镇</w:t>
            </w:r>
          </w:p>
        </w:tc>
        <w:tc>
          <w:tcPr>
            <w:tcW w:w="2085" w:type="dxa"/>
            <w:tcBorders>
              <w:bottom w:val="single" w:color="000000" w:sz="4" w:space="0"/>
              <w:right w:val="single" w:color="000000" w:sz="4" w:space="0"/>
            </w:tcBorders>
            <w:vAlign w:val="center"/>
          </w:tcPr>
          <w:p w14:paraId="488EA56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kern w:val="0"/>
                <w:sz w:val="25"/>
                <w:szCs w:val="25"/>
              </w:rPr>
            </w:pPr>
            <w:r>
              <w:rPr>
                <w:rFonts w:hint="eastAsia" w:ascii="宋体" w:hAnsi="宋体" w:eastAsia="宋体" w:cs="宋体"/>
                <w:kern w:val="0"/>
                <w:sz w:val="25"/>
                <w:szCs w:val="25"/>
              </w:rPr>
              <w:t>现代农业及物流综合型城镇</w:t>
            </w:r>
          </w:p>
        </w:tc>
        <w:tc>
          <w:tcPr>
            <w:tcW w:w="3073" w:type="dxa"/>
            <w:tcBorders>
              <w:bottom w:val="single" w:color="000000" w:sz="4" w:space="0"/>
              <w:right w:val="single" w:color="000000" w:sz="4" w:space="0"/>
            </w:tcBorders>
            <w:vAlign w:val="center"/>
          </w:tcPr>
          <w:p w14:paraId="695CEEE7">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kern w:val="0"/>
                <w:sz w:val="25"/>
                <w:szCs w:val="25"/>
              </w:rPr>
            </w:pPr>
            <w:r>
              <w:rPr>
                <w:rFonts w:hint="eastAsia" w:ascii="宋体" w:hAnsi="宋体" w:eastAsia="宋体" w:cs="宋体"/>
                <w:kern w:val="0"/>
                <w:sz w:val="25"/>
                <w:szCs w:val="25"/>
              </w:rPr>
              <w:t>重点抓烟草产业与畜牧业；利用两条高速交汇，打造区域性物流集散地</w:t>
            </w:r>
          </w:p>
        </w:tc>
      </w:tr>
      <w:tr w14:paraId="2B2684C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2" w:hRule="atLeast"/>
          <w:jc w:val="center"/>
        </w:trPr>
        <w:tc>
          <w:tcPr>
            <w:tcW w:w="1115" w:type="dxa"/>
            <w:vMerge w:val="continue"/>
            <w:tcBorders>
              <w:left w:val="single" w:color="000000" w:sz="4" w:space="0"/>
              <w:bottom w:val="single" w:color="000000" w:sz="4" w:space="0"/>
              <w:right w:val="single" w:color="000000" w:sz="4" w:space="0"/>
            </w:tcBorders>
            <w:vAlign w:val="center"/>
          </w:tcPr>
          <w:p w14:paraId="03864549">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7554250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小关乡</w:t>
            </w:r>
          </w:p>
        </w:tc>
        <w:tc>
          <w:tcPr>
            <w:tcW w:w="2085" w:type="dxa"/>
            <w:tcBorders>
              <w:bottom w:val="single" w:color="000000" w:sz="4" w:space="0"/>
              <w:right w:val="single" w:color="000000" w:sz="4" w:space="0"/>
            </w:tcBorders>
            <w:vAlign w:val="center"/>
          </w:tcPr>
          <w:p w14:paraId="2FF33C2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金银花特色小镇</w:t>
            </w:r>
          </w:p>
        </w:tc>
        <w:tc>
          <w:tcPr>
            <w:tcW w:w="3073" w:type="dxa"/>
            <w:tcBorders>
              <w:bottom w:val="single" w:color="000000" w:sz="4" w:space="0"/>
              <w:right w:val="single" w:color="000000" w:sz="4" w:space="0"/>
            </w:tcBorders>
            <w:vAlign w:val="center"/>
          </w:tcPr>
          <w:p w14:paraId="1E96F01B">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重点发展以金银花为主的现代农业；打造休闲避暑目的地</w:t>
            </w:r>
          </w:p>
        </w:tc>
      </w:tr>
      <w:tr w14:paraId="5DFB2D8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8" w:hRule="atLeast"/>
          <w:jc w:val="center"/>
        </w:trPr>
        <w:tc>
          <w:tcPr>
            <w:tcW w:w="1115" w:type="dxa"/>
            <w:vMerge w:val="continue"/>
            <w:tcBorders>
              <w:left w:val="single" w:color="000000" w:sz="4" w:space="0"/>
              <w:bottom w:val="single" w:color="000000" w:sz="4" w:space="0"/>
              <w:right w:val="single" w:color="000000" w:sz="4" w:space="0"/>
            </w:tcBorders>
            <w:vAlign w:val="center"/>
          </w:tcPr>
          <w:p w14:paraId="4467E1B4">
            <w:pPr>
              <w:keepNext w:val="0"/>
              <w:keepLines w:val="0"/>
              <w:pageBreakBefore w:val="0"/>
              <w:widowControl/>
              <w:kinsoku/>
              <w:wordWrap/>
              <w:overflowPunct/>
              <w:topLinePunct w:val="0"/>
              <w:autoSpaceDE/>
              <w:autoSpaceDN/>
              <w:bidi w:val="0"/>
              <w:adjustRightInd w:val="0"/>
              <w:snapToGrid w:val="0"/>
              <w:spacing w:line="300" w:lineRule="exact"/>
              <w:rPr>
                <w:rFonts w:hint="eastAsia" w:ascii="宋体" w:hAnsi="宋体" w:eastAsia="宋体" w:cs="宋体"/>
                <w:sz w:val="25"/>
                <w:szCs w:val="25"/>
              </w:rPr>
            </w:pPr>
          </w:p>
        </w:tc>
        <w:tc>
          <w:tcPr>
            <w:tcW w:w="1065" w:type="dxa"/>
            <w:tcBorders>
              <w:bottom w:val="single" w:color="000000" w:sz="4" w:space="0"/>
              <w:right w:val="single" w:color="000000" w:sz="4" w:space="0"/>
            </w:tcBorders>
            <w:vAlign w:val="center"/>
          </w:tcPr>
          <w:p w14:paraId="0F8C930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大路槽乡</w:t>
            </w:r>
          </w:p>
        </w:tc>
        <w:tc>
          <w:tcPr>
            <w:tcW w:w="2085" w:type="dxa"/>
            <w:tcBorders>
              <w:bottom w:val="single" w:color="000000" w:sz="4" w:space="0"/>
              <w:right w:val="single" w:color="000000" w:sz="4" w:space="0"/>
            </w:tcBorders>
            <w:vAlign w:val="center"/>
          </w:tcPr>
          <w:p w14:paraId="7EFB2F8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z w:val="25"/>
                <w:szCs w:val="25"/>
              </w:rPr>
            </w:pPr>
            <w:r>
              <w:rPr>
                <w:rFonts w:hint="eastAsia" w:ascii="宋体" w:hAnsi="宋体" w:eastAsia="宋体" w:cs="宋体"/>
                <w:kern w:val="0"/>
                <w:sz w:val="25"/>
                <w:szCs w:val="25"/>
              </w:rPr>
              <w:t>现代农业及生态旅游型城镇</w:t>
            </w:r>
          </w:p>
        </w:tc>
        <w:tc>
          <w:tcPr>
            <w:tcW w:w="3073" w:type="dxa"/>
            <w:tcBorders>
              <w:bottom w:val="single" w:color="000000" w:sz="4" w:space="0"/>
              <w:right w:val="single" w:color="000000" w:sz="4" w:space="0"/>
            </w:tcBorders>
            <w:vAlign w:val="center"/>
          </w:tcPr>
          <w:p w14:paraId="6099C395">
            <w:pPr>
              <w:keepNext w:val="0"/>
              <w:keepLines w:val="0"/>
              <w:pageBreakBefore w:val="0"/>
              <w:widowControl/>
              <w:kinsoku/>
              <w:wordWrap/>
              <w:overflowPunct/>
              <w:topLinePunct w:val="0"/>
              <w:autoSpaceDE/>
              <w:autoSpaceDN/>
              <w:bidi w:val="0"/>
              <w:adjustRightInd w:val="0"/>
              <w:snapToGrid w:val="0"/>
              <w:spacing w:line="300" w:lineRule="exact"/>
              <w:ind w:firstLine="500" w:firstLineChars="200"/>
              <w:jc w:val="left"/>
              <w:textAlignment w:val="center"/>
              <w:rPr>
                <w:rFonts w:hint="eastAsia" w:ascii="宋体" w:hAnsi="宋体" w:eastAsia="宋体" w:cs="宋体"/>
                <w:sz w:val="25"/>
                <w:szCs w:val="25"/>
              </w:rPr>
            </w:pPr>
            <w:r>
              <w:rPr>
                <w:rFonts w:hint="eastAsia" w:ascii="宋体" w:hAnsi="宋体" w:eastAsia="宋体" w:cs="宋体"/>
                <w:kern w:val="0"/>
                <w:sz w:val="25"/>
                <w:szCs w:val="25"/>
              </w:rPr>
              <w:t>重点打造红果树景区、土鸡养殖、红高粱种植产业</w:t>
            </w:r>
          </w:p>
        </w:tc>
      </w:tr>
    </w:tbl>
    <w:p w14:paraId="2C8326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小城镇、产业园区、旅游及服务业发展等规划，抓好城镇基础和公共服务设施、保障性住房、园区基础设施、产业发展、旅游及服务业、“四在农家·美丽乡村”建设，本着轻重缓急，循序渐进的实施原则，不断增强城镇吸纳承载能力。到2025年，城乡生活垃圾无害化处理率达到90%，城镇污水处理率达到95%，农村集中供水率达到100%，农村自来水普及率达到100%，乡村宽带全覆盖。</w:t>
      </w:r>
    </w:p>
    <w:p w14:paraId="500F08B8">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宋体" w:hAnsi="宋体" w:eastAsia="宋体" w:cs="宋体"/>
        </w:rPr>
      </w:pPr>
    </w:p>
    <w:p w14:paraId="35B4BB5D">
      <w:pPr>
        <w:pStyle w:val="5"/>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专栏6  城镇化重点建设项目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7E9F65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39A9F7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30"/>
                <w:szCs w:val="30"/>
              </w:rPr>
            </w:pPr>
            <w:r>
              <w:rPr>
                <w:rFonts w:hint="eastAsia" w:ascii="宋体" w:hAnsi="宋体" w:eastAsia="宋体" w:cs="宋体"/>
                <w:kern w:val="0"/>
                <w:sz w:val="28"/>
                <w:szCs w:val="28"/>
              </w:rPr>
              <w:t>工业大道至风华市政道路建设项目、绥阳东-郑场镇-新蒲市政道路建设项目、牛心至蒲场市政道建设项目、蒲场至新蒲市政道路建设项目、城市公共交通枢纽站建设项目、公共停车场建设项目、绥阳东经郑场镇至新蒲市政道路（郑场）安置还房项目、绥阳东经郑场镇至新蒲市政道路（郑场）安置还房项目基础配套设施项目、南门片区旧城改造建设项目、郑场镇水巷子片区旧城改造建设项目、东门片区旧城改造建设项目、蒲场镇旧城改造建设项目、西门片区旧城改造建设项目、旺草镇旧城改造建设项目、天台片区旧城改造建设项目、崔家院子片区旧城改造建设项目、东门中桥片区旧城改造建设项目、郑场镇油巷子片区旧城改造建设项目、金承老旧城区改造建设项目、坪乐镇老旧小区改造及特色小城镇建设项目、2021年老旧小区改造建设项目、2021年老旧小区改造红线外配套基础设施和公共服务设施建设项目、2022年老旧小区改造建设项目、2022年老旧小区改造红线外配套基础设施和公共服务设施建设项目、2023年老旧小区改造建设项目、2023年老旧小区改造红线外配套基础设施和公共服务设施建设项目、2024年老旧小区改造建设项目、2024年老旧小区改造红线外配套基础设施和公共服务设施建设项目、风华镇旧城改造建设项目、2025年老旧小区改造建设项目、2025年老旧小区改造红线外配套基础设施和公共服务设施建设项目、贵州绥阳经济开发区2号棚户区改造建设项目、2017年马朝沟城市（城中村）棚户区改造项目、2018年洋川镇城市（城中村）棚户区改造项目（诗乡门三号地块）、风华镇金承街上棚户区改造工程、风华镇五三一街上棚户区改造工程、工业大道至风华镇市政道路安置还房工程、土陶特色小镇建设项目、三线红色文化小城镇建设项目、清溪水墨里特色小镇建设项目、茅垭镇古茶小镇建设、枧坝特色小城镇工程、枧坝镇尖山少数民族村寨建设项目、小关乡金银花特色小镇建设项目、小关乡森林康养小镇建设项目、城市地下综合管廊一期工程、城市地下综合管廊二期工程、老城区雨污分离改造项目、绥阳盐泉度假康养小镇项目、贵州桃花江螺江九曲康养小镇建设项目、经开区污水处理厂建设项目、乡镇卫生院公共卫生楼及污水处理系统、枧坝镇污水处理全覆盖工程、坪乐镇污水处理建设项目、小关乡集镇污水处理厂建设项目、餐厨垃圾处理建设项目、小关乡垃圾收运系统建设工程。</w:t>
            </w:r>
          </w:p>
        </w:tc>
      </w:tr>
    </w:tbl>
    <w:p w14:paraId="6286A197">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Cs/>
          <w:sz w:val="36"/>
          <w:szCs w:val="36"/>
        </w:rPr>
        <w:sectPr>
          <w:headerReference r:id="rId14" w:type="default"/>
          <w:pgSz w:w="8392" w:h="11850"/>
          <w:pgMar w:top="1247" w:right="879" w:bottom="1020" w:left="879" w:header="851" w:footer="992" w:gutter="0"/>
          <w:pgNumType w:fmt="decimal"/>
          <w:cols w:space="425" w:num="1"/>
          <w:rtlGutter w:val="0"/>
          <w:docGrid w:type="lines" w:linePitch="456" w:charSpace="0"/>
        </w:sectPr>
      </w:pPr>
      <w:bookmarkStart w:id="34" w:name="_Toc27553"/>
    </w:p>
    <w:p w14:paraId="2BE0D580">
      <w:pPr>
        <w:numPr>
          <w:ilvl w:val="0"/>
          <w:numId w:val="3"/>
        </w:numPr>
        <w:spacing w:line="520" w:lineRule="exact"/>
        <w:jc w:val="center"/>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大力推进农业农村现代化，</w:t>
      </w:r>
      <w:bookmarkEnd w:id="34"/>
    </w:p>
    <w:p w14:paraId="273DB050">
      <w:pPr>
        <w:spacing w:line="520" w:lineRule="exact"/>
        <w:ind w:firstLine="2168" w:firstLineChars="600"/>
        <w:jc w:val="both"/>
        <w:outlineLvl w:val="0"/>
        <w:rPr>
          <w:rFonts w:hint="eastAsia" w:ascii="宋体" w:hAnsi="宋体" w:eastAsia="宋体" w:cs="宋体"/>
          <w:b/>
          <w:bCs w:val="0"/>
          <w:sz w:val="36"/>
          <w:szCs w:val="36"/>
        </w:rPr>
      </w:pPr>
      <w:bookmarkStart w:id="35" w:name="_Toc21288"/>
      <w:r>
        <w:rPr>
          <w:rFonts w:hint="eastAsia" w:ascii="宋体" w:hAnsi="宋体" w:eastAsia="宋体" w:cs="宋体"/>
          <w:b/>
          <w:bCs w:val="0"/>
          <w:sz w:val="36"/>
          <w:szCs w:val="36"/>
        </w:rPr>
        <w:t>深入实施乡村振兴战略</w:t>
      </w:r>
      <w:bookmarkEnd w:id="35"/>
    </w:p>
    <w:p w14:paraId="64AB9085">
      <w:pPr>
        <w:pStyle w:val="5"/>
        <w:spacing w:line="520" w:lineRule="exact"/>
        <w:ind w:left="640"/>
        <w:rPr>
          <w:rFonts w:hint="eastAsia" w:ascii="宋体" w:hAnsi="宋体" w:eastAsia="宋体" w:cs="宋体"/>
        </w:rPr>
      </w:pPr>
    </w:p>
    <w:p w14:paraId="2CE2C0FC">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把乡村振兴战略作为新时代“三农”工作总抓手，把解决好“三农”问题作为工作的重中之重，深入推进农村产业革命，持续推进传统农业向现代农业转变，全面夯实现代特色高效农业基础支撑，全力建设现代农业强县，加快推进乡村振兴示范区建设，着力打造乡村振兴“绥阳样板”。</w:t>
      </w:r>
    </w:p>
    <w:p w14:paraId="781999C4">
      <w:pPr>
        <w:pStyle w:val="5"/>
        <w:keepNext w:val="0"/>
        <w:keepLines w:val="0"/>
        <w:pageBreakBefore w:val="0"/>
        <w:widowControl w:val="0"/>
        <w:kinsoku/>
        <w:wordWrap/>
        <w:overflowPunct/>
        <w:topLinePunct w:val="0"/>
        <w:autoSpaceDE/>
        <w:autoSpaceDN/>
        <w:bidi w:val="0"/>
        <w:snapToGrid/>
        <w:spacing w:line="520" w:lineRule="exact"/>
        <w:ind w:left="0" w:leftChars="0"/>
        <w:textAlignment w:val="auto"/>
        <w:rPr>
          <w:rFonts w:hint="eastAsia" w:ascii="宋体" w:hAnsi="宋体" w:eastAsia="宋体" w:cs="宋体"/>
          <w:sz w:val="28"/>
          <w:szCs w:val="28"/>
        </w:rPr>
      </w:pPr>
    </w:p>
    <w:p w14:paraId="4BB10630">
      <w:pPr>
        <w:keepNext w:val="0"/>
        <w:keepLines w:val="0"/>
        <w:pageBreakBefore w:val="0"/>
        <w:widowControl w:val="0"/>
        <w:numPr>
          <w:ilvl w:val="0"/>
          <w:numId w:val="5"/>
        </w:numPr>
        <w:kinsoku/>
        <w:wordWrap/>
        <w:overflowPunct/>
        <w:topLinePunct w:val="0"/>
        <w:autoSpaceDE/>
        <w:autoSpaceDN/>
        <w:bidi w:val="0"/>
        <w:snapToGrid/>
        <w:spacing w:line="520" w:lineRule="exact"/>
        <w:ind w:left="0" w:leftChars="0"/>
        <w:jc w:val="center"/>
        <w:textAlignment w:val="auto"/>
        <w:outlineLvl w:val="1"/>
        <w:rPr>
          <w:rFonts w:hint="eastAsia" w:ascii="宋体" w:hAnsi="宋体" w:eastAsia="宋体" w:cs="宋体"/>
          <w:b/>
          <w:bCs/>
          <w:sz w:val="28"/>
          <w:szCs w:val="28"/>
        </w:rPr>
      </w:pPr>
      <w:bookmarkStart w:id="36" w:name="_Toc15537"/>
      <w:r>
        <w:rPr>
          <w:rFonts w:hint="eastAsia" w:ascii="宋体" w:hAnsi="宋体" w:eastAsia="宋体" w:cs="宋体"/>
          <w:b/>
          <w:bCs/>
          <w:sz w:val="28"/>
          <w:szCs w:val="28"/>
        </w:rPr>
        <w:t>巩固拓展脱贫攻坚成果</w:t>
      </w:r>
      <w:bookmarkEnd w:id="36"/>
    </w:p>
    <w:p w14:paraId="701E066B">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入落实“四个不摘”要求，保持帮扶政策、资金支持、帮扶力量总体稳定，推动巩固拓展脱贫攻坚成果同乡村振兴有效衔接。建立解决相对贫困长效机制，健全防止返贫监测和帮扶机制，确保“零返贫、零致贫”。把解决相对贫困问题纳入实施乡村振兴战略统筹安排，稳妥有序做好政策衔接、工作衔接、机制衔接、设施衔接、产业衔接、组织衔接、人才衔接，完善“一达标两不愁三保障”动态管理机制，健全社会扶贫网平台支撑保障体系，继续加大就业、产业等扶持力度，推深做实产业扶贫，确保不返贫和不发生新的贫困。强化易地扶贫搬迁后续扶持“五个体系”建设，结合新型城镇化战略布局，着力抓好安置区产业就业、基础设施补短板、基本公共服务提质、社区管理和文化服务。主动对接、积极争取乡村振兴帮扶政策。立足各乡镇资源禀赋和产业优势。着力推动以产业为支撑的乡村振兴示范镇、示范村（寨）建设。</w:t>
      </w:r>
    </w:p>
    <w:p w14:paraId="4FBF2617">
      <w:pPr>
        <w:pStyle w:val="5"/>
        <w:keepNext w:val="0"/>
        <w:keepLines w:val="0"/>
        <w:pageBreakBefore w:val="0"/>
        <w:widowControl w:val="0"/>
        <w:kinsoku/>
        <w:wordWrap/>
        <w:overflowPunct/>
        <w:topLinePunct w:val="0"/>
        <w:autoSpaceDE/>
        <w:autoSpaceDN/>
        <w:bidi w:val="0"/>
        <w:snapToGrid/>
        <w:spacing w:line="520" w:lineRule="exact"/>
        <w:ind w:left="0" w:leftChars="0"/>
        <w:textAlignment w:val="auto"/>
        <w:rPr>
          <w:rFonts w:hint="eastAsia" w:ascii="宋体" w:hAnsi="宋体" w:eastAsia="宋体" w:cs="宋体"/>
          <w:sz w:val="28"/>
          <w:szCs w:val="28"/>
        </w:rPr>
      </w:pPr>
    </w:p>
    <w:p w14:paraId="0D49B4FD">
      <w:pPr>
        <w:keepNext w:val="0"/>
        <w:keepLines w:val="0"/>
        <w:pageBreakBefore w:val="0"/>
        <w:widowControl w:val="0"/>
        <w:numPr>
          <w:ilvl w:val="0"/>
          <w:numId w:val="5"/>
        </w:numPr>
        <w:kinsoku/>
        <w:wordWrap/>
        <w:overflowPunct/>
        <w:topLinePunct w:val="0"/>
        <w:autoSpaceDE/>
        <w:autoSpaceDN/>
        <w:bidi w:val="0"/>
        <w:snapToGrid/>
        <w:spacing w:line="520" w:lineRule="exact"/>
        <w:ind w:left="0" w:leftChars="0"/>
        <w:jc w:val="center"/>
        <w:textAlignment w:val="auto"/>
        <w:outlineLvl w:val="1"/>
        <w:rPr>
          <w:rFonts w:hint="eastAsia" w:ascii="宋体" w:hAnsi="宋体" w:eastAsia="宋体" w:cs="宋体"/>
          <w:b/>
          <w:bCs/>
          <w:sz w:val="28"/>
          <w:szCs w:val="28"/>
        </w:rPr>
      </w:pPr>
      <w:bookmarkStart w:id="37" w:name="_Toc9448"/>
      <w:r>
        <w:rPr>
          <w:rFonts w:hint="eastAsia" w:ascii="宋体" w:hAnsi="宋体" w:eastAsia="宋体" w:cs="宋体"/>
          <w:b/>
          <w:bCs/>
          <w:sz w:val="28"/>
          <w:szCs w:val="28"/>
        </w:rPr>
        <w:t>夯实农业发展基础，破解制约农业发展瓶颈</w:t>
      </w:r>
    </w:p>
    <w:p w14:paraId="730127BA">
      <w:pPr>
        <w:keepNext w:val="0"/>
        <w:keepLines w:val="0"/>
        <w:pageBreakBefore w:val="0"/>
        <w:widowControl w:val="0"/>
        <w:numPr>
          <w:ilvl w:val="0"/>
          <w:numId w:val="0"/>
        </w:numPr>
        <w:kinsoku/>
        <w:wordWrap/>
        <w:overflowPunct/>
        <w:topLinePunct w:val="0"/>
        <w:autoSpaceDE/>
        <w:autoSpaceDN/>
        <w:bidi w:val="0"/>
        <w:snapToGrid/>
        <w:spacing w:line="520" w:lineRule="exact"/>
        <w:ind w:left="0" w:leftChars="0"/>
        <w:jc w:val="center"/>
        <w:textAlignment w:val="auto"/>
        <w:outlineLvl w:val="1"/>
        <w:rPr>
          <w:rFonts w:hint="eastAsia" w:ascii="宋体" w:hAnsi="宋体" w:eastAsia="宋体" w:cs="宋体"/>
          <w:b/>
          <w:bCs/>
          <w:sz w:val="28"/>
          <w:szCs w:val="28"/>
        </w:rPr>
      </w:pPr>
      <w:r>
        <w:rPr>
          <w:rFonts w:hint="eastAsia" w:ascii="宋体" w:hAnsi="宋体" w:eastAsia="宋体" w:cs="宋体"/>
          <w:b/>
          <w:bCs/>
          <w:sz w:val="28"/>
          <w:szCs w:val="28"/>
        </w:rPr>
        <w:t>问题</w:t>
      </w:r>
      <w:bookmarkEnd w:id="37"/>
    </w:p>
    <w:p w14:paraId="5E82D461">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——加强现代农业设施建设。</w:t>
      </w:r>
      <w:r>
        <w:rPr>
          <w:rFonts w:hint="eastAsia" w:ascii="宋体" w:hAnsi="宋体" w:eastAsia="宋体" w:cs="宋体"/>
          <w:sz w:val="28"/>
          <w:szCs w:val="28"/>
        </w:rPr>
        <w:t>加强实施农业基础提升工程，</w:t>
      </w:r>
      <w:r>
        <w:rPr>
          <w:rFonts w:hint="eastAsia" w:ascii="宋体" w:hAnsi="宋体" w:eastAsia="宋体" w:cs="宋体"/>
          <w:sz w:val="28"/>
          <w:szCs w:val="28"/>
          <w:shd w:val="clear" w:color="auto" w:fill="FFFFFF"/>
        </w:rPr>
        <w:t>以粮食生产功能区和现代农业园区、坝区为重点,加快构建与农村产业革命相适应的现代山地高效农业基础设施保障体系。加强农业生产区域交通建设，实现农业生产道路与乡村道路互联互通，</w:t>
      </w:r>
      <w:r>
        <w:rPr>
          <w:rFonts w:hint="eastAsia" w:ascii="宋体" w:hAnsi="宋体" w:eastAsia="宋体" w:cs="宋体"/>
          <w:sz w:val="28"/>
          <w:szCs w:val="28"/>
        </w:rPr>
        <w:t>加快推进农田设施建设，重点加强农业生产机耕便道、特色经果林机耕道建设。加强水利综合治理，加大水源工程、引提灌工程建设和地下水开发利用力度，因地制宜建设城乡备用水源，强化县域水库开发治理，基本解决工程性缺水难题。加快推进文星水库等重大水利工程项目前期工作。继续实施农田水利和烟水配套工程建设，加强病险水库治理、中小河流治理、烟水配套、节水灌溉、河道整治等水利工程建设。加快城镇防洪工程建设，加强水利信息化建设，建立防汛抗旱决策指挥和预警预报系统，构建科学高效防汛抗旱保障体系。强化农业实用技术服务,推广小型化、多功能、组合式山地农业机械</w:t>
      </w:r>
      <w:r>
        <w:rPr>
          <w:rFonts w:hint="eastAsia" w:ascii="宋体" w:hAnsi="宋体" w:eastAsia="宋体" w:cs="宋体"/>
          <w:sz w:val="28"/>
          <w:szCs w:val="28"/>
          <w:shd w:val="clear" w:color="auto" w:fill="FFFFFF"/>
        </w:rPr>
        <w:t>,提升农机装备水平。</w:t>
      </w:r>
      <w:r>
        <w:rPr>
          <w:rFonts w:hint="eastAsia" w:ascii="宋体" w:hAnsi="宋体" w:eastAsia="宋体" w:cs="宋体"/>
          <w:sz w:val="28"/>
          <w:szCs w:val="28"/>
        </w:rPr>
        <w:t>加强防雹附属设施。推进大数据与农业产业深度融合,大力发展智慧农业,加快发展农产品电子商务。着力推进物流设施建设。加快特色农产品物流园、农产品配送中心、中药材仓储物流园建设，在特色农产品主产区规划布局一批农产品分拣、烘干、保鲜冷藏、物流配送设施。</w:t>
      </w:r>
    </w:p>
    <w:p w14:paraId="24689DA5">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——推进耕地质量保护提升。</w:t>
      </w:r>
      <w:r>
        <w:rPr>
          <w:rFonts w:hint="eastAsia" w:ascii="宋体" w:hAnsi="宋体" w:eastAsia="宋体" w:cs="宋体"/>
          <w:spacing w:val="3"/>
          <w:kern w:val="0"/>
          <w:sz w:val="28"/>
          <w:szCs w:val="28"/>
        </w:rPr>
        <w:t>坚持最严格的耕地保护制度，</w:t>
      </w:r>
      <w:r>
        <w:rPr>
          <w:rFonts w:hint="eastAsia" w:ascii="宋体" w:hAnsi="宋体" w:eastAsia="宋体" w:cs="宋体"/>
          <w:sz w:val="28"/>
          <w:szCs w:val="28"/>
        </w:rPr>
        <w:t>实施耕地质量保护与提升行动。</w:t>
      </w:r>
      <w:r>
        <w:rPr>
          <w:rFonts w:hint="eastAsia" w:ascii="宋体" w:hAnsi="宋体" w:eastAsia="宋体" w:cs="宋体"/>
          <w:sz w:val="28"/>
          <w:szCs w:val="28"/>
          <w:shd w:val="clear" w:color="auto" w:fill="FFFFFF"/>
        </w:rPr>
        <w:t>以推动藏粮于地、藏粮于技，以提升粮食产能为首要目标，聚焦重点区域，统筹整合资金，加大投入力度，按照统一规划布局、统一建设标准、统一组织实施、统一验收考核、统一上图入库要求，</w:t>
      </w:r>
      <w:r>
        <w:rPr>
          <w:rFonts w:hint="eastAsia" w:ascii="宋体" w:hAnsi="宋体" w:eastAsia="宋体" w:cs="宋体"/>
          <w:sz w:val="28"/>
          <w:szCs w:val="28"/>
        </w:rPr>
        <w:t>进一步开展土地综合治理，以中低改造为重点，建设高标准农田，加强农业科技服务体系建设，加强绿肥种植示范建设，提高土壤有机质含量，改善耕地质量，改善生产和防疫条件，逐步建立适应现代特色农业发展要求的植保防灾体系，全面提高对重大病虫害的预警和控制能力。加快应用现代信息技术改造提升传统农业，大力推广应用信息化管理系统、着力打造智慧农业示范推广基地，提高防治自然灾害和保障农业生产的能力。</w:t>
      </w:r>
    </w:p>
    <w:p w14:paraId="0E0B31CB">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——培育发展农业专业合作组织，打造新型农业经营体系。</w:t>
      </w:r>
    </w:p>
    <w:p w14:paraId="31F5854B">
      <w:pPr>
        <w:keepNext w:val="0"/>
        <w:keepLines w:val="0"/>
        <w:pageBreakBefore w:val="0"/>
        <w:widowControl w:val="0"/>
        <w:kinsoku/>
        <w:wordWrap/>
        <w:overflowPunct/>
        <w:topLinePunct w:val="0"/>
        <w:autoSpaceDE/>
        <w:autoSpaceDN/>
        <w:bidi w:val="0"/>
        <w:snapToGrid/>
        <w:spacing w:line="52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积极发展农民专业化合作组织。</w:t>
      </w:r>
      <w:r>
        <w:rPr>
          <w:rFonts w:hint="eastAsia" w:ascii="宋体" w:hAnsi="宋体" w:eastAsia="宋体" w:cs="宋体"/>
          <w:sz w:val="28"/>
          <w:szCs w:val="28"/>
        </w:rPr>
        <w:t>深入实施“农民专业合作组织示范工程”，大力引导现有农民专业合作社、家庭农场、专业大户、农业企业等新型经营主体建立农民专业合作社联合社，推进龙头企业、专业合作社、农民利益联结机制，强化内部管理、资源整合，大幅度提升特色优势产业覆盖率和农民生产组织化程度，促进农业增效和农民收入快速增长。鼓励龙头企业、专业大户依托产业组建产销一体化的农民专业合作社，推行“龙头企业+合作社+农户”“公司+农户+基地”“专业市场+农户”“合作经济组织+农户”“家庭农场+基地”“公司+合作经济组织+农户”等模式，创新“农工商”、“产加销”等组织模式，促进农民专业合作组织健康有序发展，全面提高农业产业化水平。到2025年，培育市级以上农业龙头企业突破50家，农产品加工转化率达到65%以上。</w:t>
      </w:r>
    </w:p>
    <w:p w14:paraId="3594F1C1">
      <w:pPr>
        <w:keepNext w:val="0"/>
        <w:keepLines w:val="0"/>
        <w:pageBreakBefore w:val="0"/>
        <w:widowControl w:val="0"/>
        <w:kinsoku/>
        <w:wordWrap/>
        <w:overflowPunct/>
        <w:topLinePunct w:val="0"/>
        <w:autoSpaceDE/>
        <w:autoSpaceDN/>
        <w:bidi w:val="0"/>
        <w:snapToGrid/>
        <w:spacing w:line="52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打造智慧农业生产经营体系。</w:t>
      </w:r>
      <w:r>
        <w:rPr>
          <w:rFonts w:hint="eastAsia" w:ascii="宋体" w:hAnsi="宋体" w:eastAsia="宋体" w:cs="宋体"/>
          <w:sz w:val="28"/>
          <w:szCs w:val="28"/>
        </w:rPr>
        <w:t>“智慧农业”是</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"https://baike.baidu.com/item/%E4%BA%91%E8%AE%A1%E7%AE%97"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云计算</w:t>
      </w:r>
      <w:r>
        <w:rPr>
          <w:rFonts w:hint="eastAsia" w:ascii="宋体" w:hAnsi="宋体" w:eastAsia="宋体" w:cs="宋体"/>
          <w:sz w:val="28"/>
          <w:szCs w:val="28"/>
        </w:rPr>
        <w:fldChar w:fldCharType="end"/>
      </w:r>
      <w:r>
        <w:rPr>
          <w:rFonts w:hint="eastAsia" w:ascii="宋体" w:hAnsi="宋体" w:eastAsia="宋体" w:cs="宋体"/>
          <w:sz w:val="28"/>
          <w:szCs w:val="28"/>
        </w:rPr>
        <w:t>、传感网、3S等多种信息技术在农业中综合、全面的应用，能够有效改善农业生态环境，提高农业生产经营效率，彻底转变农业生产者、消费者观念和组织体系结构，培育新业态，推动技术进步，促进农业生产方式的变革。实施“三一一”工程，积极完善农业物联网体系建设；全面推进“5大行动计划”，提高农业全产业链信息化水平；进一步落实“15项工作任务”，建立涵盖土壤墒情、地理信息、育种、播种、施肥、植保、收储、农产品加工、销售、质量监管等各环节的农业大数据信息库，构建宏观的农业大数据分析体系，促进传统农业向新型互联网农业跨越发展。</w:t>
      </w:r>
    </w:p>
    <w:p w14:paraId="69EAE8A4">
      <w:pPr>
        <w:keepNext w:val="0"/>
        <w:keepLines w:val="0"/>
        <w:pageBreakBefore w:val="0"/>
        <w:widowControl w:val="0"/>
        <w:kinsoku/>
        <w:wordWrap/>
        <w:overflowPunct/>
        <w:topLinePunct w:val="0"/>
        <w:autoSpaceDE/>
        <w:autoSpaceDN/>
        <w:bidi w:val="0"/>
        <w:snapToGrid/>
        <w:spacing w:line="520" w:lineRule="exact"/>
        <w:ind w:left="0" w:leftChars="0"/>
        <w:textAlignment w:val="auto"/>
        <w:rPr>
          <w:rFonts w:hint="eastAsia" w:ascii="宋体" w:hAnsi="宋体" w:eastAsia="宋体" w:cs="宋体"/>
          <w:kern w:val="0"/>
          <w:sz w:val="28"/>
          <w:szCs w:val="28"/>
        </w:rPr>
      </w:pPr>
    </w:p>
    <w:p w14:paraId="5AE4F4CA">
      <w:pPr>
        <w:keepNext w:val="0"/>
        <w:keepLines w:val="0"/>
        <w:pageBreakBefore w:val="0"/>
        <w:widowControl w:val="0"/>
        <w:kinsoku/>
        <w:wordWrap/>
        <w:overflowPunct/>
        <w:topLinePunct w:val="0"/>
        <w:autoSpaceDE/>
        <w:autoSpaceDN/>
        <w:bidi w:val="0"/>
        <w:snapToGrid/>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rPr>
        <w:t>专栏7 智慧农业重点工作</w:t>
      </w:r>
    </w:p>
    <w:tbl>
      <w:tblPr>
        <w:tblStyle w:val="16"/>
        <w:tblW w:w="746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60"/>
      </w:tblGrid>
      <w:tr w14:paraId="743297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460" w:type="dxa"/>
          </w:tcPr>
          <w:p w14:paraId="787A2502">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“三一一”工程：建设“县-镇-基地”三级综合性农产品物流集散中心，创建一家县级农产品物流协会，打造一条全景式的现代化农产品物流产业链。</w:t>
            </w:r>
          </w:p>
          <w:p w14:paraId="46B9232C">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5大行动计划：互联网+农业生产、互联网+经营、互联网+管理、互联网+服务、互联网+创业。</w:t>
            </w:r>
          </w:p>
          <w:p w14:paraId="1E6F813D">
            <w:pPr>
              <w:pStyle w:val="5"/>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15项工作任务：完善农业物联网公共服务体系、示范工程，智能农机建设工程、电子商务、涉农企业智能化提升工程、农产品产地市场信息化建设、农业信息服务平台建设、信息进村入户工程、农业技术推广服务、农业政务系统建设、农产品质量监管、农业可持续发展、农业创业培训、农业产业“接二连三”、农业创业园等。</w:t>
            </w:r>
          </w:p>
        </w:tc>
      </w:tr>
    </w:tbl>
    <w:p w14:paraId="1C51C76B">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强化农业服务体系，保障现代农业健康发展</w:t>
      </w:r>
      <w:r>
        <w:rPr>
          <w:rFonts w:hint="eastAsia" w:ascii="宋体" w:hAnsi="宋体" w:eastAsia="宋体" w:cs="宋体"/>
          <w:b/>
          <w:sz w:val="28"/>
          <w:szCs w:val="28"/>
        </w:rPr>
        <w:t>。</w:t>
      </w:r>
      <w:r>
        <w:rPr>
          <w:rFonts w:hint="eastAsia" w:ascii="宋体" w:hAnsi="宋体" w:eastAsia="宋体" w:cs="宋体"/>
          <w:sz w:val="28"/>
          <w:szCs w:val="28"/>
        </w:rPr>
        <w:t>着力推进农业科技支撑、农产品质量安全、农业机械化服务、农民培训、农业信息化、环境保护与生态农业等体系建设，强化科技支撑和精准有效服务，建成层次分明、布局合理、分工明确、结构优化、运行高效的农业技术推广体系，探索设立区域性农技推广机构，创新运行模式。推动科技创新与生产应用紧密结合，大力提高农业科技转化与应用水平，创新农科教、产学研紧密衔接的机制，加快形成推进农业科技进步的强大合力。加快完善农业信息化基础设施，推进农业信息化、数字化和精准化，农业科技贡献率达到75%以上，主要农产品耕种收综合机械化水平达到40%，有效灌溉面积达到15万亩，基地农产品质量认证率达到20%，农产品质量抽检合格率达到98%以上。力争创建国家农产品质量安全示范县。</w:t>
      </w:r>
    </w:p>
    <w:p w14:paraId="2ED4BDD8">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力发展智慧农业，助推数字乡村战略。实施农业物联网建设。夯实数字农业基础，构建“天空地人”四位一体的农业大数据可持续采集更新体系，加快以农田信息采集、农田遥感监测、农田地理环境信息、农机具智能化等为重点的农业物联网系统建设和应用示范，推动农业物联网基地规模化建设，助推坝区农业提质增效和坡耕地种植结构调整。实施农产品质量安全追溯体系建设。大力推进农产品质量安全可追溯，建立农产品质量追溯平台并推广应用，加快全县农产品质量安全追溯体系建设，健全农产品质量安全监管体系、检测体系、追溯体系、标准体系，实现农产品生产、加工、检测等环节质量信息追溯查询，促进农业由增产导向转向提质导向。强化农村电商应用。大力推进大数据+农产品销售服务新模式，加强农产品市场信息体系、冷链物流网络建设，加快打造线上与线下相结合、智慧化大型农产品交易基地与农业合作社相结合、农村电商与特色农产品直供直销相结合的农业智能供应链体系。继续开展电子商务进农村综合示范，实施“互联网+”农产品出村进城工程，强力助推“绥货出山”。实施农业大数据平台建设。以大数据助推农业供给侧结构性改革，构建全面系统、精准高效的农产品生产销售大数据库和调度平台，动态监测、实时掌握全县农产品空间格局、数量规模、品种结构、销售去向、经济效益和扶贫效果，从需求侧推动供给侧改革，优化农业生产力布局，提升智慧农业质量效益。</w:t>
      </w:r>
    </w:p>
    <w:p w14:paraId="58E23085">
      <w:pPr>
        <w:keepNext w:val="0"/>
        <w:keepLines w:val="0"/>
        <w:pageBreakBefore w:val="0"/>
        <w:widowControl w:val="0"/>
        <w:kinsoku/>
        <w:wordWrap/>
        <w:overflowPunct/>
        <w:topLinePunct w:val="0"/>
        <w:autoSpaceDE/>
        <w:autoSpaceDN/>
        <w:bidi w:val="0"/>
        <w:snapToGrid/>
        <w:spacing w:line="520" w:lineRule="exact"/>
        <w:ind w:left="0" w:leftChars="0"/>
        <w:jc w:val="center"/>
        <w:textAlignment w:val="auto"/>
        <w:outlineLvl w:val="1"/>
        <w:rPr>
          <w:rFonts w:hint="eastAsia" w:ascii="宋体" w:hAnsi="宋体" w:eastAsia="宋体" w:cs="宋体"/>
          <w:bCs/>
          <w:sz w:val="28"/>
          <w:szCs w:val="28"/>
        </w:rPr>
      </w:pPr>
    </w:p>
    <w:p w14:paraId="2049C020">
      <w:pPr>
        <w:keepNext w:val="0"/>
        <w:keepLines w:val="0"/>
        <w:pageBreakBefore w:val="0"/>
        <w:widowControl w:val="0"/>
        <w:kinsoku/>
        <w:wordWrap/>
        <w:overflowPunct/>
        <w:topLinePunct w:val="0"/>
        <w:autoSpaceDE/>
        <w:autoSpaceDN/>
        <w:bidi w:val="0"/>
        <w:snapToGrid/>
        <w:spacing w:line="520" w:lineRule="exact"/>
        <w:ind w:left="0" w:leftChars="0"/>
        <w:jc w:val="center"/>
        <w:textAlignment w:val="auto"/>
        <w:outlineLvl w:val="1"/>
        <w:rPr>
          <w:rFonts w:hint="eastAsia" w:ascii="宋体" w:hAnsi="宋体" w:eastAsia="宋体" w:cs="宋体"/>
          <w:b/>
          <w:bCs w:val="0"/>
          <w:sz w:val="28"/>
          <w:szCs w:val="28"/>
        </w:rPr>
      </w:pPr>
      <w:bookmarkStart w:id="38" w:name="_Toc11840"/>
      <w:r>
        <w:rPr>
          <w:rFonts w:hint="eastAsia" w:ascii="宋体" w:hAnsi="宋体" w:eastAsia="宋体" w:cs="宋体"/>
          <w:b/>
          <w:bCs w:val="0"/>
          <w:sz w:val="28"/>
          <w:szCs w:val="28"/>
        </w:rPr>
        <w:t>第三节  发展特色高效产业和提高农业质量效益</w:t>
      </w:r>
      <w:bookmarkEnd w:id="38"/>
    </w:p>
    <w:p w14:paraId="5ACDB384">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坚持“四新一高”要求、绿色有机方向、优质优品定位，</w:t>
      </w:r>
      <w:r>
        <w:rPr>
          <w:rFonts w:hint="eastAsia" w:ascii="宋体" w:hAnsi="宋体" w:eastAsia="宋体" w:cs="宋体"/>
          <w:sz w:val="28"/>
          <w:szCs w:val="28"/>
        </w:rPr>
        <w:t>以“332115”产业布局为基础，</w:t>
      </w:r>
      <w:r>
        <w:rPr>
          <w:rFonts w:hint="eastAsia" w:ascii="宋体" w:hAnsi="宋体" w:eastAsia="宋体" w:cs="宋体"/>
          <w:bCs/>
          <w:sz w:val="28"/>
          <w:szCs w:val="28"/>
        </w:rPr>
        <w:t>做大做强农业“八大主导产业”。统筹做好坝区、山区、林区“三篇文章”，大力发展坝区高效农业、山区特色产业以及林下经济和林特产业，着力实施“稻+”多种模式，建设山地绿色蔬菜基地。</w:t>
      </w:r>
      <w:r>
        <w:rPr>
          <w:rFonts w:hint="eastAsia" w:ascii="宋体" w:hAnsi="宋体" w:eastAsia="宋体" w:cs="宋体"/>
          <w:sz w:val="28"/>
          <w:szCs w:val="28"/>
        </w:rPr>
        <w:t>把辣椒、金银花作为全县主导产业。</w:t>
      </w:r>
    </w:p>
    <w:p w14:paraId="20ADB8F7">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（一）统筹好坝区和山区两大区域。以“332115”产业布局为突破，坚持“坝区抓高效、山区抓特色”，全力打造“三色产业带”。</w:t>
      </w:r>
    </w:p>
    <w:p w14:paraId="1A29B682">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——坝区抓高效，促高效。</w:t>
      </w:r>
      <w:r>
        <w:rPr>
          <w:rFonts w:hint="eastAsia" w:ascii="宋体" w:hAnsi="宋体" w:eastAsia="宋体" w:cs="宋体"/>
          <w:kern w:val="0"/>
          <w:sz w:val="28"/>
          <w:szCs w:val="28"/>
        </w:rPr>
        <w:t>全面落实“坝长制”，坚持以坝区产业结构调整为突破口，实现农村产业裂变式发展。</w:t>
      </w:r>
      <w:r>
        <w:rPr>
          <w:rFonts w:hint="eastAsia" w:ascii="宋体" w:hAnsi="宋体" w:eastAsia="宋体" w:cs="宋体"/>
          <w:sz w:val="28"/>
          <w:szCs w:val="28"/>
        </w:rPr>
        <w:t>因地制宜高标准打造一批点线面结合的规模化、标准化基地，逐步形成“专业化、精细化、特色化”发展格局，迅速扩大规模。深入推进坝区农业提质增效，把“坝长制”“321工程”优良组合模式落地落实，着力创建1个样板坝区、打造17个达标坝区，深入推进坝区产业革命。以500亩以上坝区为主要平台，加大产业结构调整，巩固提升辣椒、经果林产业基地，推动绿色“稻+”产业发展。把“小米辣”“子弹头”等辣椒优势品种规模做大，质量做高。积极转变扶持方式，用好坝区产业革命专项资金，坚决落实大田移栽环节兑现奖补措施，把面积核准到丘块，确保规模核准核实，资金使用高效。要突出规模效应，实现产业蝶变，坝区产业选择原则上以单品为主，实现连片规模化标准化种植，以量促质，以质增效。要抓好示范带动，定期组织坝区产业结构调整观摩，以观摩促进经验交流，形成比学赶超的坝区产业革命浓厚氛围，助推成果扩大。要办好示范点，做靓亮点，打造连片优质辣椒种植基地，把绥阳农业的规模做出来。</w:t>
      </w:r>
    </w:p>
    <w:p w14:paraId="00658451">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山区抓特色，促品质。山区农业在“精致”上做文章，以“精品、优质、特色、高端”为出发点，从“以量求生存”转为“以质求发展”。从增产导向转向提质导向，从过去拼资源、拼环境和主要追求产量，转变到追求数量、质量和效益并重的农业发展轨道上。坚持“人无我有、人有我优、人有我新”发展理念，防止同质化竞争，充分发挥绥阳的比较优势，开发具有地方特色的“精品”或“拳头产品”。重点把金银花、方竹笋、“黄金茶”、中药材等特色优势农业做大做精，打造地方品牌。围绕市场多元化、消费个性化需求，开发多功能性、绿色、有机优质农产品，满足更多的小规模、高端化的“私人订制”式需求。引导农户按照消费者需求去生产，让农产品或养殖禽畜在生产初期就实现销售，完成从农户到消费者的直接对接，提高农产品附加值，契合山地农业特点，解决山地农业生产规模小、销售难等问题。</w:t>
      </w:r>
    </w:p>
    <w:p w14:paraId="440CA8D3">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努力创建国家现代农业示范区，提升园区发展水平。以市场为导向，以科技为支撑，以市场主体培育为重点，抓住用好国家现代农业示范区建设机遇，着力推动农业园区建设。以加快基础设施建设为重点，将现代农业产业园建设成为现代农业示范园、高效农业特色园、农业“接二连三”产业园、循环农业示范园、高科技农业推广园、现代农民创业园，形成集农产品生产、农业“三新”（新品种、新技术、新模式）展示、科技研发创新、市场营销管理和新农村建设示范五大功能于一体的现代山地高效农业园区。推进</w:t>
      </w:r>
      <w:r>
        <w:rPr>
          <w:rFonts w:hint="eastAsia" w:ascii="宋体" w:hAnsi="宋体" w:eastAsia="宋体" w:cs="宋体"/>
          <w:kern w:val="0"/>
          <w:sz w:val="28"/>
          <w:szCs w:val="28"/>
        </w:rPr>
        <w:t>金银花功能拓展型国家农村一二三产融合发展示范园项目建设，打造黄金茶产业特色示范县</w:t>
      </w:r>
      <w:r>
        <w:rPr>
          <w:rFonts w:hint="eastAsia" w:ascii="宋体" w:hAnsi="宋体" w:eastAsia="宋体" w:cs="宋体"/>
          <w:sz w:val="28"/>
          <w:szCs w:val="28"/>
        </w:rPr>
        <w:t>。到2025年，新创建省级以上农业产业化龙头企业5家，新增市级龙头企业15家，实现农业总产值达81亿元以上，农产品加工业销售收入占农产品销售收入的80%以上。</w:t>
      </w:r>
    </w:p>
    <w:p w14:paraId="5D752CA3">
      <w:pPr>
        <w:pStyle w:val="5"/>
        <w:keepNext w:val="0"/>
        <w:keepLines w:val="0"/>
        <w:pageBreakBefore w:val="0"/>
        <w:widowControl w:val="0"/>
        <w:kinsoku/>
        <w:wordWrap/>
        <w:overflowPunct/>
        <w:topLinePunct w:val="0"/>
        <w:autoSpaceDE/>
        <w:autoSpaceDN/>
        <w:bidi w:val="0"/>
        <w:snapToGrid/>
        <w:spacing w:line="520" w:lineRule="exact"/>
        <w:ind w:left="0" w:leftChars="0"/>
        <w:textAlignment w:val="auto"/>
        <w:rPr>
          <w:rFonts w:hint="eastAsia" w:ascii="宋体" w:hAnsi="宋体" w:eastAsia="宋体" w:cs="宋体"/>
          <w:b/>
          <w:bCs/>
          <w:sz w:val="28"/>
          <w:szCs w:val="28"/>
        </w:rPr>
      </w:pPr>
    </w:p>
    <w:p w14:paraId="79FA2A64">
      <w:pPr>
        <w:keepNext w:val="0"/>
        <w:keepLines w:val="0"/>
        <w:pageBreakBefore w:val="0"/>
        <w:widowControl w:val="0"/>
        <w:kinsoku/>
        <w:wordWrap/>
        <w:overflowPunct/>
        <w:topLinePunct w:val="0"/>
        <w:autoSpaceDE/>
        <w:autoSpaceDN/>
        <w:bidi w:val="0"/>
        <w:snapToGrid/>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专栏8  现代农业园区的格局</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50FD1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D255733">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省级园区：农林综合现代高效农业园区、崖上秋歌山地农业观光园、金银花功能拓展型国家农村一二三产融合发展示范园；</w:t>
            </w:r>
          </w:p>
          <w:p w14:paraId="073CF4E0">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市级园区：绥阳精品蔬菜及休闲农业示范园、太白富裕生态脱贫现代示范园区、蒲场黄金谷茶旅示范园。</w:t>
            </w:r>
          </w:p>
        </w:tc>
      </w:tr>
    </w:tbl>
    <w:p w14:paraId="2703ECF2">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发展山地生态高效特色产业，推进农业产业化。按照专业化和标准化发展思路，提高农业综合生产能力。充分发挥全县18个500亩以上坝区优势，全面落实“坝长制”，依托龙头企业，发展优质、高产、高效、生态、安全农业，加快推进高效农业适度规模化、产业化、标准化、品牌化建设；综合运用现代科技、物质装备和管理技术改造传统农业，推动农业内涵式发展，提升农业综合生产能力和经营效率，把绥阳打造成为粤港澳大湾区、长三角、成渝等区域的绿色农产品重要供应基地。</w:t>
      </w:r>
    </w:p>
    <w:p w14:paraId="21D98758">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——保障粮食生产基础地位，促进种植业提质增效。不断夯实粮食基础，大力发展以辣椒、金银花、红高粱、方竹、花椒为重点的特色优质种植业，持续推动传统烤烟生产。大力推进</w:t>
      </w:r>
      <w:r>
        <w:rPr>
          <w:rFonts w:hint="eastAsia" w:ascii="宋体" w:hAnsi="宋体" w:eastAsia="宋体" w:cs="宋体"/>
          <w:kern w:val="21"/>
          <w:sz w:val="28"/>
          <w:szCs w:val="28"/>
        </w:rPr>
        <w:t>“三带三基地”建设</w:t>
      </w:r>
      <w:r>
        <w:rPr>
          <w:rFonts w:hint="eastAsia" w:ascii="宋体" w:hAnsi="宋体" w:eastAsia="宋体" w:cs="宋体"/>
          <w:sz w:val="28"/>
          <w:szCs w:val="28"/>
        </w:rPr>
        <w:t>，</w:t>
      </w:r>
      <w:r>
        <w:rPr>
          <w:rFonts w:hint="eastAsia" w:ascii="宋体" w:hAnsi="宋体" w:eastAsia="宋体" w:cs="宋体"/>
          <w:bCs/>
          <w:sz w:val="28"/>
          <w:szCs w:val="28"/>
        </w:rPr>
        <w:t>重点打造</w:t>
      </w:r>
      <w:r>
        <w:rPr>
          <w:rFonts w:hint="eastAsia" w:ascii="宋体" w:hAnsi="宋体" w:eastAsia="宋体" w:cs="宋体"/>
          <w:bCs/>
          <w:kern w:val="21"/>
          <w:sz w:val="28"/>
          <w:szCs w:val="28"/>
        </w:rPr>
        <w:t>蒲场、风华、洋川、旺草、温泉207省道沿线蔬菜水果产业带，建成10万亩高效商品蔬菜和3万亩精品水果基地；打造宽阔、黄杨、青杠塘、太白352国道沿线冷凉蔬菜产业带，建成3.5万亩高山生态特色商品蔬菜基地；打造郑场、小关沿线金银花产业带，建成5万亩金银花标准化种植示范基地；打造黄杨、青杠塘、太白、坪乐生态畜禽养殖基地</w:t>
      </w:r>
      <w:r>
        <w:rPr>
          <w:rFonts w:hint="eastAsia" w:ascii="宋体" w:hAnsi="宋体" w:eastAsia="宋体" w:cs="宋体"/>
          <w:bCs/>
          <w:sz w:val="28"/>
          <w:szCs w:val="28"/>
        </w:rPr>
        <w:t>，把绥阳县建成全省无公害、绿色、有机农产品供应基地。</w:t>
      </w:r>
      <w:r>
        <w:rPr>
          <w:rFonts w:hint="eastAsia" w:ascii="宋体" w:hAnsi="宋体" w:eastAsia="宋体" w:cs="宋体"/>
          <w:sz w:val="28"/>
          <w:szCs w:val="28"/>
        </w:rPr>
        <w:t>到2025年，粮食作物种植面积稳定在80万亩以上，粮食总产量达25万吨以上，力争蔬菜播种面积达30万亩（含复种），油菜种植面积达20万亩以，辣椒种植面积达30万亩以上，中药材种植面积达35万亩以上（其中金银花种植面积达30万亩以上）。</w:t>
      </w:r>
      <w:r>
        <w:rPr>
          <w:rFonts w:hint="eastAsia" w:ascii="宋体" w:hAnsi="宋体" w:eastAsia="宋体" w:cs="宋体"/>
          <w:kern w:val="0"/>
          <w:sz w:val="28"/>
          <w:szCs w:val="28"/>
        </w:rPr>
        <w:t>大力发展黄化品种茶种植，黄金茶种植面积达6万亩以上。</w:t>
      </w:r>
    </w:p>
    <w:p w14:paraId="6217E4F4">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积极发展草地畜牧业，促进生态养殖业健康发展。着力培育扶持养殖大户、养殖大镇（街道），盯紧抓实良种改良繁育体系、动物防疫体系、饲草饲料体系建设等关键环节，积极发展草地生态畜牧业，加快发展以生猪、肉羊、蛋禽为重点的特色养殖业，力争把绥阳建设成为以优质肉猪、优质肉羊、优质禽为重点的生态畜牧业生产基地。到2025年，全县生猪饲养量达到100万头，肉羊饲养量5万只，肉类总产量达到5万吨。畜牧业产值达到50亿元，占农业总产值的比重达到40%。</w:t>
      </w:r>
    </w:p>
    <w:p w14:paraId="3094A675">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力推动特色农产品加工业和休闲观光农业发展，不断提高农业经济综合效益。加快推进贸工农、产加销一体化发展，强化政策引导扶持，着力提高农产品商品率和市场竞争力。以辣椒、果蔬、方竹、畜禽、中药材等农产品为主导，积极引进和培育大型食品、药品等加工龙头企业，发展特色农产品精深加工，开展</w:t>
      </w:r>
      <w:r>
        <w:rPr>
          <w:rFonts w:hint="eastAsia" w:ascii="宋体" w:hAnsi="宋体" w:eastAsia="宋体" w:cs="宋体"/>
          <w:kern w:val="0"/>
          <w:sz w:val="28"/>
          <w:szCs w:val="28"/>
        </w:rPr>
        <w:t>金银花功能拓展型国家农村一二三产融合发展示范园</w:t>
      </w:r>
      <w:r>
        <w:rPr>
          <w:rFonts w:hint="eastAsia" w:ascii="宋体" w:hAnsi="宋体" w:eastAsia="宋体" w:cs="宋体"/>
          <w:sz w:val="28"/>
          <w:szCs w:val="28"/>
        </w:rPr>
        <w:t>和绥阳县辣椒一二三产融合发展项目建设，着力打造区域特色农产品品牌。至2025年，力争省级农业产业化龙头企业达9户，培育一批省级名牌农产品及地方名特优产品。基地产品商品率达到95%以上，外销达90%以上；以农业旅游资源为基础，融合推进现代农业发展，突出农产品地域特色，积极寻找“美丽乡村”和旅游康养的契合点，推动休闲观光农业产业发展，重点打造以小关金银花、黄杨小米辣、蔬菜、花卉苗木为主，集观光休闲、体验参与、旅游康养、商务会客、娱乐拓展、农副产品销售为一体的主题农业生态旅游观光园。</w:t>
      </w:r>
    </w:p>
    <w:p w14:paraId="1FAB9F9D">
      <w:pPr>
        <w:pStyle w:val="5"/>
        <w:keepNext w:val="0"/>
        <w:keepLines w:val="0"/>
        <w:pageBreakBefore w:val="0"/>
        <w:widowControl w:val="0"/>
        <w:kinsoku/>
        <w:wordWrap/>
        <w:overflowPunct/>
        <w:topLinePunct w:val="0"/>
        <w:autoSpaceDE/>
        <w:autoSpaceDN/>
        <w:bidi w:val="0"/>
        <w:snapToGrid/>
        <w:spacing w:line="520" w:lineRule="exact"/>
        <w:ind w:left="0" w:leftChars="0"/>
        <w:textAlignment w:val="auto"/>
        <w:rPr>
          <w:rFonts w:hint="eastAsia" w:ascii="宋体" w:hAnsi="宋体" w:eastAsia="宋体" w:cs="宋体"/>
          <w:sz w:val="28"/>
          <w:szCs w:val="28"/>
        </w:rPr>
      </w:pPr>
    </w:p>
    <w:p w14:paraId="4A16CD95">
      <w:pPr>
        <w:pStyle w:val="32"/>
        <w:keepNext w:val="0"/>
        <w:keepLines w:val="0"/>
        <w:pageBreakBefore w:val="0"/>
        <w:widowControl w:val="0"/>
        <w:numPr>
          <w:ilvl w:val="0"/>
          <w:numId w:val="6"/>
        </w:numPr>
        <w:kinsoku/>
        <w:wordWrap/>
        <w:overflowPunct/>
        <w:topLinePunct w:val="0"/>
        <w:autoSpaceDE/>
        <w:autoSpaceDN/>
        <w:bidi w:val="0"/>
        <w:snapToGrid/>
        <w:spacing w:line="520" w:lineRule="exact"/>
        <w:ind w:left="0" w:leftChars="0" w:firstLine="0" w:firstLineChars="0"/>
        <w:jc w:val="center"/>
        <w:textAlignment w:val="auto"/>
        <w:outlineLvl w:val="1"/>
        <w:rPr>
          <w:rFonts w:hint="eastAsia" w:ascii="宋体" w:hAnsi="宋体" w:eastAsia="宋体" w:cs="宋体"/>
          <w:b/>
          <w:bCs/>
          <w:sz w:val="28"/>
          <w:szCs w:val="28"/>
        </w:rPr>
      </w:pPr>
      <w:bookmarkStart w:id="39" w:name="_Toc31476"/>
      <w:r>
        <w:rPr>
          <w:rFonts w:hint="eastAsia" w:ascii="宋体" w:hAnsi="宋体" w:eastAsia="宋体" w:cs="宋体"/>
          <w:b/>
          <w:bCs/>
          <w:sz w:val="28"/>
          <w:szCs w:val="28"/>
        </w:rPr>
        <w:t>持续深化农村改革</w:t>
      </w:r>
      <w:bookmarkEnd w:id="39"/>
    </w:p>
    <w:p w14:paraId="1DF5DA66">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健全城乡融合发展机制，推动城乡要素平等交换、双向交流，增强农业农村发展活力，推动新型城镇化与乡村振兴“双轮驱动”。</w:t>
      </w:r>
      <w:r>
        <w:rPr>
          <w:rFonts w:hint="eastAsia" w:ascii="宋体" w:hAnsi="宋体" w:eastAsia="宋体" w:cs="宋体"/>
          <w:sz w:val="28"/>
          <w:szCs w:val="28"/>
        </w:rPr>
        <w:t>深化农村土地制度改革，稳妥推进农村集体经营性建设用地入市。深化巩固“三联、四动、五金”产业发展成果。深</w:t>
      </w:r>
      <w:r>
        <w:rPr>
          <w:rFonts w:hint="eastAsia" w:ascii="宋体" w:hAnsi="宋体" w:eastAsia="宋体" w:cs="宋体"/>
          <w:bCs/>
          <w:sz w:val="28"/>
          <w:szCs w:val="28"/>
        </w:rPr>
        <w:t>化农村集体产权制度改革，扎实推进资源变资产、资金变股金、农民变股东“三变”改革，提高农村各类资源要素的配置和利用效率，确保集体资产保值增值，持续壮大集体经济。保障进城落户农民土地承包权、宅基地使用权、集体收益分配权，鼓励依法自愿有偿转让。健全农村金融服务体系，加快推进农村信用工程建设。推进供销合作社联合社综合改革。</w:t>
      </w:r>
    </w:p>
    <w:p w14:paraId="3222003D">
      <w:pPr>
        <w:pStyle w:val="5"/>
        <w:keepNext w:val="0"/>
        <w:keepLines w:val="0"/>
        <w:pageBreakBefore w:val="0"/>
        <w:widowControl w:val="0"/>
        <w:kinsoku/>
        <w:wordWrap/>
        <w:overflowPunct/>
        <w:topLinePunct w:val="0"/>
        <w:autoSpaceDE/>
        <w:autoSpaceDN/>
        <w:bidi w:val="0"/>
        <w:snapToGrid/>
        <w:spacing w:line="520" w:lineRule="exact"/>
        <w:ind w:left="0" w:leftChars="0"/>
        <w:textAlignment w:val="auto"/>
        <w:rPr>
          <w:rFonts w:hint="eastAsia" w:ascii="宋体" w:hAnsi="宋体" w:eastAsia="宋体" w:cs="宋体"/>
          <w:sz w:val="28"/>
          <w:szCs w:val="28"/>
        </w:rPr>
      </w:pPr>
    </w:p>
    <w:p w14:paraId="065C54EF">
      <w:pPr>
        <w:pStyle w:val="32"/>
        <w:keepNext w:val="0"/>
        <w:keepLines w:val="0"/>
        <w:pageBreakBefore w:val="0"/>
        <w:widowControl w:val="0"/>
        <w:numPr>
          <w:ilvl w:val="0"/>
          <w:numId w:val="6"/>
        </w:numPr>
        <w:kinsoku/>
        <w:wordWrap/>
        <w:overflowPunct/>
        <w:topLinePunct w:val="0"/>
        <w:autoSpaceDE/>
        <w:autoSpaceDN/>
        <w:bidi w:val="0"/>
        <w:snapToGrid/>
        <w:spacing w:line="520" w:lineRule="exact"/>
        <w:ind w:left="0" w:leftChars="0" w:hanging="51" w:firstLineChars="0"/>
        <w:jc w:val="center"/>
        <w:textAlignment w:val="auto"/>
        <w:outlineLvl w:val="1"/>
        <w:rPr>
          <w:rFonts w:hint="eastAsia" w:ascii="宋体" w:hAnsi="宋体" w:eastAsia="宋体" w:cs="宋体"/>
          <w:b/>
          <w:bCs/>
          <w:sz w:val="28"/>
          <w:szCs w:val="28"/>
        </w:rPr>
      </w:pPr>
      <w:bookmarkStart w:id="40" w:name="_Toc3732"/>
      <w:r>
        <w:rPr>
          <w:rFonts w:hint="eastAsia" w:ascii="宋体" w:hAnsi="宋体" w:eastAsia="宋体" w:cs="宋体"/>
          <w:b/>
          <w:bCs/>
          <w:sz w:val="28"/>
          <w:szCs w:val="28"/>
        </w:rPr>
        <w:t>实施乡村建设行动</w:t>
      </w:r>
      <w:bookmarkEnd w:id="40"/>
    </w:p>
    <w:p w14:paraId="167ADAD5">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统筹城镇和村庄规划建设，推动农村人口相对集中居住，强化县域综合服务能力，把乡镇建成服务农民的区域中心。启动乡镇基地型冷库建设，加速城乡物流步伐。持续加大水、电、路、讯等基础设施投入力度，深化农村人居环境整治，保护传统村落和乡村风貌，完善和升级农村基础设施，建立健全长效管护机制，打造“四在农家·美丽乡村”现代版。</w:t>
      </w:r>
    </w:p>
    <w:p w14:paraId="07239BD6">
      <w:pPr>
        <w:keepNext w:val="0"/>
        <w:keepLines w:val="0"/>
        <w:pageBreakBefore w:val="0"/>
        <w:widowControl w:val="0"/>
        <w:kinsoku/>
        <w:wordWrap/>
        <w:overflowPunct/>
        <w:topLinePunct w:val="0"/>
        <w:autoSpaceDE/>
        <w:autoSpaceDN/>
        <w:bidi w:val="0"/>
        <w:snapToGrid/>
        <w:spacing w:line="52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bCs/>
          <w:sz w:val="28"/>
          <w:szCs w:val="28"/>
        </w:rPr>
        <w:t>围绕生态宜居美化乡村环境。</w:t>
      </w:r>
      <w:r>
        <w:rPr>
          <w:rFonts w:hint="eastAsia" w:ascii="宋体" w:hAnsi="宋体" w:eastAsia="宋体" w:cs="宋体"/>
          <w:sz w:val="28"/>
          <w:szCs w:val="28"/>
        </w:rPr>
        <w:t>加大村庄整治力度，持续实施“治污治水·洁净家园”攻坚行动，保护乡村田地、山林、河流等资源。</w:t>
      </w:r>
    </w:p>
    <w:p w14:paraId="770554C8">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——不断提升乡村现代化治理能力和水平。坚持村民自治，推广“四议两公开”（党支部会提议、“两委”会商议、党员大会审议、村民代表会议或村民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"https://baike.baidu.com/item/%E4%BC%9A%E8%AE%AE%E5%86%B3%E8%AE%AE" \t "https://baike.baidu.com/item/%E2%80%9C%E5%9B%9B%E8%AE%AE%E4%B8%A4%E5%85%AC%E5%BC%80%E2%80%9D%E5%B7%A5%E4%BD%9C%E6%B3%95/_blank" </w:instrText>
      </w:r>
      <w:r>
        <w:rPr>
          <w:rFonts w:hint="eastAsia" w:ascii="宋体" w:hAnsi="宋体" w:eastAsia="宋体" w:cs="宋体"/>
          <w:sz w:val="28"/>
          <w:szCs w:val="28"/>
        </w:rPr>
        <w:fldChar w:fldCharType="separate"/>
      </w:r>
      <w:r>
        <w:rPr>
          <w:rFonts w:hint="eastAsia" w:ascii="宋体" w:hAnsi="宋体" w:eastAsia="宋体" w:cs="宋体"/>
          <w:sz w:val="28"/>
          <w:szCs w:val="28"/>
        </w:rPr>
        <w:t>会议决议</w:t>
      </w:r>
      <w:r>
        <w:rPr>
          <w:rFonts w:hint="eastAsia" w:ascii="宋体" w:hAnsi="宋体" w:eastAsia="宋体" w:cs="宋体"/>
          <w:sz w:val="28"/>
          <w:szCs w:val="28"/>
        </w:rPr>
        <w:fldChar w:fldCharType="end"/>
      </w:r>
      <w:r>
        <w:rPr>
          <w:rFonts w:hint="eastAsia" w:ascii="宋体" w:hAnsi="宋体" w:eastAsia="宋体" w:cs="宋体"/>
          <w:sz w:val="28"/>
          <w:szCs w:val="28"/>
        </w:rPr>
        <w:t>）工作法，大力培育服务性、公益性、互助性农村社会组织。强化以村民小组或自然村为基本单元的村民自治试点，探索创新实践农村社区治理模式、基层管理体制机制。建强农村基层组织，推进党支部标准化建设，持续整顿软弱涣散村党组织。深入实施“双培养”工程，选优配强基层党组织带头人，充实村级后备力量队伍库，实施百名农技专家服务“三农”行动，扎实抓好“乡村振兴指导员”选派工作，大力培育爱农业、懂技术、善经营的新型职业农民，为乡村振兴提供充足有力的人才支撑和智力支持。加强农村法治建设。推进农村矛盾纠纷多元化解，以纵深推进扫黑除恶为抓手，严厉打击各类违法犯罪活动。实施乡村德治，发挥道德引领、规范、约束的内在作用，构建自治法治德治相结合的乡村治理体系。</w:t>
      </w:r>
    </w:p>
    <w:p w14:paraId="61416A8B">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Cs/>
          <w:sz w:val="28"/>
          <w:szCs w:val="28"/>
        </w:rPr>
        <w:t>围绕生活富裕发展农村生产力</w:t>
      </w:r>
      <w:r>
        <w:rPr>
          <w:rFonts w:hint="eastAsia" w:ascii="宋体" w:hAnsi="宋体" w:eastAsia="宋体" w:cs="宋体"/>
          <w:sz w:val="28"/>
          <w:szCs w:val="28"/>
        </w:rPr>
        <w:t>。全面补齐基础设施和农村人居环境短板，发展好乡村卫生、教育等事业，完善农村社会保障体系、公共文化供给体系，大力发展农村专业合作社，有效整合农村土地、生产力等资源，提升农业生产效率, 发展壮大农村集体经济。培养职业农民，支持农村群众参加农业技术培训，鼓励支持农民专业合作社、龙头企业等主体实施重点技能培训。开展乡村就业创业促进行动，培育一批家庭工场、手工作坊、乡村车间，让农民懂经营、能创业，拓宽农民增收渠道。</w:t>
      </w:r>
    </w:p>
    <w:p w14:paraId="68A43DAE">
      <w:pPr>
        <w:pStyle w:val="5"/>
        <w:keepNext w:val="0"/>
        <w:keepLines w:val="0"/>
        <w:pageBreakBefore w:val="0"/>
        <w:widowControl w:val="0"/>
        <w:kinsoku/>
        <w:wordWrap/>
        <w:overflowPunct/>
        <w:topLinePunct w:val="0"/>
        <w:autoSpaceDE/>
        <w:autoSpaceDN/>
        <w:bidi w:val="0"/>
        <w:snapToGrid/>
        <w:spacing w:line="520" w:lineRule="exact"/>
        <w:ind w:left="0" w:leftChars="0"/>
        <w:textAlignment w:val="auto"/>
        <w:rPr>
          <w:rFonts w:hint="eastAsia" w:ascii="宋体" w:hAnsi="宋体" w:eastAsia="宋体" w:cs="宋体"/>
          <w:sz w:val="30"/>
          <w:szCs w:val="30"/>
        </w:rPr>
      </w:pPr>
    </w:p>
    <w:p w14:paraId="44F59ACA">
      <w:pPr>
        <w:pStyle w:val="14"/>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left="0" w:leftChars="0"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专栏9  农村重点建设项目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7F8C17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DF58738">
            <w:pPr>
              <w:keepNext w:val="0"/>
              <w:keepLines w:val="0"/>
              <w:pageBreakBefore w:val="0"/>
              <w:widowControl w:val="0"/>
              <w:kinsoku/>
              <w:wordWrap/>
              <w:overflowPunct/>
              <w:topLinePunct w:val="0"/>
              <w:autoSpaceDE/>
              <w:autoSpaceDN/>
              <w:bidi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rPr>
              <w:t>枧坝镇杉木箐农旅一体化建设项目、金银花功能拓展型国家农村一二三产融合发展示范园建设项目、青杠塘镇野茶坝山地高效农业园区项目、黄金茶“茶、旅”一体化综合开发项目、小关乡“百里银花长廊”生态旅游项目、宽阔镇脱贫巩固农业产业化提升工程、旺草镇坝区高标准农田整治项目、高标准农田建设项目（2021年）、宽阔镇岩坪土地综合开发项目、高标准农田建设项目（2022-2025年）、年出栏40万头商品猪养殖项目、现代化生猪养殖循环产业链一期建设项目、太白镇山地生态畜牧业建设项目、林下经济项目、生态土鸡养殖示范园建设项目、生态渔业养殖项目、茶叶种植项目、小关乡茶产业发展建设项目、辣椒产业全产业链项目、方竹产业发展项目、宽阔方竹产业融合示范项目、中药材种植基地建设项目、太白镇山地规模种植业建设项目、宽阔中药材种植示范基地、小关乡有机金银花种植基地建设项目、小关乡金银花标准化苗木繁育基地建设、小关乡金银花标准化种植示范基地建设项目、供港澳农业产业园发展项目、中药材科技服务中心项目、国家级金银花及其制品质量监督检验检测中心项目、小关乡金银花产、学、研教育教学基地建设项目、农村人居环境整治基础设施建设整县推进项目、农村厕所建设项目、农村生活垃圾收集治理项目、生态循环农业示范项目、绥阳县村容村貌提升项目、小关乡农村环境综合整治项目、宽阔乡村振兴集中住房工程、枧坝镇尖山少数民族村寨建设项目。</w:t>
            </w:r>
          </w:p>
        </w:tc>
      </w:tr>
    </w:tbl>
    <w:p w14:paraId="0C6B73D5">
      <w:pPr>
        <w:rPr>
          <w:rFonts w:hint="eastAsia" w:ascii="宋体" w:hAnsi="宋体" w:eastAsia="宋体" w:cs="宋体"/>
        </w:rPr>
      </w:pPr>
    </w:p>
    <w:p w14:paraId="116CFDA3">
      <w:pPr>
        <w:pStyle w:val="2"/>
        <w:rPr>
          <w:rFonts w:hint="eastAsia" w:ascii="宋体" w:hAnsi="宋体" w:eastAsia="宋体" w:cs="宋体"/>
        </w:rPr>
        <w:sectPr>
          <w:headerReference r:id="rId15" w:type="default"/>
          <w:pgSz w:w="8392" w:h="11850"/>
          <w:pgMar w:top="1247" w:right="879" w:bottom="1020" w:left="879" w:header="851" w:footer="992" w:gutter="0"/>
          <w:pgNumType w:fmt="decimal"/>
          <w:cols w:space="425" w:num="1"/>
          <w:rtlGutter w:val="0"/>
          <w:docGrid w:type="lines" w:linePitch="456" w:charSpace="0"/>
        </w:sectPr>
      </w:pPr>
    </w:p>
    <w:p w14:paraId="0B27BD97">
      <w:pPr>
        <w:spacing w:line="520" w:lineRule="exact"/>
        <w:jc w:val="center"/>
        <w:outlineLvl w:val="0"/>
        <w:rPr>
          <w:rFonts w:hint="eastAsia" w:ascii="宋体" w:hAnsi="宋体" w:eastAsia="宋体" w:cs="宋体"/>
          <w:b/>
          <w:bCs w:val="0"/>
          <w:sz w:val="36"/>
          <w:szCs w:val="36"/>
        </w:rPr>
      </w:pPr>
      <w:bookmarkStart w:id="41" w:name="_Toc2738"/>
      <w:r>
        <w:rPr>
          <w:rFonts w:hint="eastAsia" w:ascii="宋体" w:hAnsi="宋体" w:eastAsia="宋体" w:cs="宋体"/>
          <w:b/>
          <w:bCs w:val="0"/>
          <w:sz w:val="36"/>
          <w:szCs w:val="36"/>
        </w:rPr>
        <w:t>第六章  大力推进旅游产业化，                  推动“旅游+”融合发展新突破</w:t>
      </w:r>
      <w:bookmarkEnd w:id="41"/>
    </w:p>
    <w:p w14:paraId="2314B5EF">
      <w:pPr>
        <w:pStyle w:val="5"/>
        <w:spacing w:line="520" w:lineRule="exact"/>
        <w:ind w:left="640"/>
        <w:rPr>
          <w:rFonts w:hint="eastAsia" w:ascii="宋体" w:hAnsi="宋体" w:eastAsia="宋体" w:cs="宋体"/>
        </w:rPr>
      </w:pPr>
    </w:p>
    <w:p w14:paraId="5F65A969">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诗画绥阳·养生天堂”定位，深入实施“旅游+”行动计划，推动全景式打造、全产业发展、全社会参与、全方位转型，加快全域旅游发展，着力打造旅游康养集散地，推进旅游康养融合区建设，争创国家全域旅游示范区，着力打造具有知名度和影响力的旅游目的地。至2025年，实现接待游客突破2700万人次，年均增长17%；实现旅游年综合收入230亿元以上，年均增长19%。</w:t>
      </w:r>
    </w:p>
    <w:p w14:paraId="6B3D54A4">
      <w:pPr>
        <w:pStyle w:val="5"/>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5428A59D">
      <w:pPr>
        <w:keepNext w:val="0"/>
        <w:keepLines w:val="0"/>
        <w:pageBreakBefore w:val="0"/>
        <w:numPr>
          <w:ilvl w:val="0"/>
          <w:numId w:val="7"/>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val="0"/>
          <w:sz w:val="28"/>
          <w:szCs w:val="28"/>
        </w:rPr>
      </w:pPr>
      <w:bookmarkStart w:id="42" w:name="_Toc17613"/>
      <w:r>
        <w:rPr>
          <w:rFonts w:hint="eastAsia" w:ascii="宋体" w:hAnsi="宋体" w:eastAsia="宋体" w:cs="宋体"/>
          <w:b/>
          <w:bCs w:val="0"/>
          <w:sz w:val="28"/>
          <w:szCs w:val="28"/>
        </w:rPr>
        <w:t>打造全域旅游发展新格局</w:t>
      </w:r>
      <w:bookmarkEnd w:id="42"/>
    </w:p>
    <w:p w14:paraId="10C7ED7C">
      <w:pPr>
        <w:pStyle w:val="5"/>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树立“城市即旅游、旅游即生活”的理念，把整个绥阳作为最大景区整体建设，强化全域旅游“大空间”，形成“一心双核·一环三带”的全域旅游新格局：“一心”即全域旅游发展中心；“双核”即双河洞科普研学旅游核、宽阔水森林康养融合旅游核；“一环”即绥阳全域自驾旅游环；“三带”即北部山地避暑度假旅游带、中部芙蓉江生态康养旅游带、南部农业观光旅游带。优化和打造一批精品旅游线路，推进全县景区串点成线、以线带面，实现旅游景区集聚化、集约化发展。到2025年，创建5A级景区1个、4A级景区3个、3A级景区5个，优化和打造精品旅游线路5条。</w:t>
      </w:r>
    </w:p>
    <w:p w14:paraId="30A6D166">
      <w:pPr>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17311427">
      <w:pPr>
        <w:keepNext w:val="0"/>
        <w:keepLines w:val="0"/>
        <w:pageBreakBefore w:val="0"/>
        <w:numPr>
          <w:ilvl w:val="0"/>
          <w:numId w:val="7"/>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val="0"/>
          <w:sz w:val="28"/>
          <w:szCs w:val="28"/>
        </w:rPr>
      </w:pPr>
      <w:bookmarkStart w:id="43" w:name="_Toc20681"/>
      <w:r>
        <w:rPr>
          <w:rFonts w:hint="eastAsia" w:ascii="宋体" w:hAnsi="宋体" w:eastAsia="宋体" w:cs="宋体"/>
          <w:b/>
          <w:bCs w:val="0"/>
          <w:sz w:val="28"/>
          <w:szCs w:val="28"/>
        </w:rPr>
        <w:t>推进“旅游+多产业”融合发展</w:t>
      </w:r>
      <w:bookmarkEnd w:id="43"/>
    </w:p>
    <w:p w14:paraId="6161ADF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立足资源禀赋，发挥优势、突出特色，丰富绿色生态和人文内涵，坚持融合发展，围绕旅游“六要素”，大力发展红色旅游、绿色旅游、康养旅游、研学旅游、乡村旅游，高品质开发旅游新业态，塑造绥阳旅游竞争新优势。</w:t>
      </w:r>
    </w:p>
    <w:p w14:paraId="4BEB5B12">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旅游+文化”，深挖红色资源，建好红色文化教育培训阵地，着力发展红色旅游、研学旅游。做精做美“中国民间艺术诗歌之乡”名片，提升“中国诗乡·世界休闲公园”品牌形象，高标准打造双河洞国家地质公园、宽阔水国家森林旅游公园、神山国际休闲度假旅游公园、绥阳国家农业旅游公园、青溪湖国家湿地旅游公园五大公园。坚持政府主导、市场运作、企业主体，创新举办国际洞穴旅游科考节、中国民间诗歌艺术节、辣椒节、金银花节、户外生态休闲音乐节等主要节庆活动。充分挖掘绥阳“三线”旧址资源，广泛征集“三线”文物，特别是征集资料文档和生产设备、产品等，建设“三线”博物馆、文化创意园、“三线”军工特色小镇等，让不同“三线”工业元素、文化信息多元共生相互交融，推动“三线”旅游业快速发展。</w:t>
      </w:r>
    </w:p>
    <w:p w14:paraId="0516D513">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——围绕“旅游+康养”，以温泉康养、度假避暑、氧吧洗肺、养老服务等为代表，着力发展康养旅游。</w:t>
      </w:r>
    </w:p>
    <w:p w14:paraId="71B6D5C2">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旅游+体育”，以黄杨镇秘境探险、宽阔镇十二背后油桶溪大地缝探险、卧龙湖水上运动、枧坝镇小白溪峡谷户外运动及野营旅游等旅游资源为主，高品质建设体验基地，着力发展以水上运动、探洞、攀岩、滑翔跳伞等项目为代表的体育旅游，创建体育旅游示范县。</w:t>
      </w:r>
    </w:p>
    <w:p w14:paraId="0D1AE0E6">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——围绕“旅游+观光”，打造以宽阔水、清溪峡、神山、五峰岭、九道门等景区为代表的精致景点，着力发展绿色旅游。</w:t>
      </w:r>
    </w:p>
    <w:p w14:paraId="0997842E">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旅游+乡村”，以美在乡景、美在乡韵、美在乡味、美在乡愁为抓手，着力发展乡村旅游。鼓励旅游景区、旅行社、旅游饭店、旅游客运企业、旅游餐馆等组建旅游产业联盟或经营联合体，培育旅游龙头企业。建立多层次、全产业链的品牌体系，加强系统营销推介，提升绥阳旅游影响力。</w:t>
      </w:r>
    </w:p>
    <w:p w14:paraId="5DC57490">
      <w:pPr>
        <w:pStyle w:val="5"/>
        <w:keepNext w:val="0"/>
        <w:keepLines w:val="0"/>
        <w:pageBreakBefore w:val="0"/>
        <w:kinsoku/>
        <w:wordWrap/>
        <w:overflowPunct/>
        <w:topLinePunct w:val="0"/>
        <w:autoSpaceDE/>
        <w:autoSpaceDN/>
        <w:bidi w:val="0"/>
        <w:spacing w:line="520" w:lineRule="exact"/>
        <w:ind w:left="0" w:leftChars="0"/>
        <w:jc w:val="center"/>
        <w:textAlignment w:val="auto"/>
        <w:rPr>
          <w:rFonts w:hint="eastAsia" w:ascii="宋体" w:hAnsi="宋体" w:eastAsia="宋体" w:cs="宋体"/>
          <w:sz w:val="28"/>
          <w:szCs w:val="28"/>
        </w:rPr>
      </w:pPr>
    </w:p>
    <w:p w14:paraId="618B190E">
      <w:pPr>
        <w:keepNext w:val="0"/>
        <w:keepLines w:val="0"/>
        <w:pageBreakBefore w:val="0"/>
        <w:numPr>
          <w:ilvl w:val="0"/>
          <w:numId w:val="7"/>
        </w:numPr>
        <w:tabs>
          <w:tab w:val="left" w:pos="879"/>
        </w:tabs>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44" w:name="_Toc27866"/>
      <w:r>
        <w:rPr>
          <w:rFonts w:hint="eastAsia" w:ascii="宋体" w:hAnsi="宋体" w:eastAsia="宋体" w:cs="宋体"/>
          <w:b/>
          <w:bCs/>
          <w:sz w:val="28"/>
          <w:szCs w:val="28"/>
        </w:rPr>
        <w:t>大力发展康养旅游</w:t>
      </w:r>
      <w:bookmarkEnd w:id="44"/>
    </w:p>
    <w:p w14:paraId="7D6EA22F">
      <w:pPr>
        <w:keepNext w:val="0"/>
        <w:keepLines w:val="0"/>
        <w:pageBreakBefore w:val="0"/>
        <w:tabs>
          <w:tab w:val="left" w:pos="879"/>
        </w:tabs>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依托“洞林山水”资源禀赋，加强对康养产业的高标规划，以桃花江螺江九曲康养小镇项目为核心，依托金银花产业和汇善谷温泉打造医药养生和温泉养生，加快推动一批康养项目落地。依托良好生态环境和“十二背后”、红果树、卧龙湖旅游景区，打造1小时车程的康养休闲消费核心圈。精准对接消费市场，统筹开发养生养老、医疗康养、疗养体验、医药康养、洞穴康养、休闲度假、体育休闲等康养项目，打造康养基地，招引康养企业，形成康养旅游产业集群。</w:t>
      </w:r>
    </w:p>
    <w:p w14:paraId="1F704CE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1"/>
          <w:sz w:val="28"/>
          <w:szCs w:val="28"/>
        </w:rPr>
        <w:t>——大力实施医疗医药康养发展行动。</w:t>
      </w:r>
      <w:r>
        <w:rPr>
          <w:rFonts w:hint="eastAsia" w:ascii="宋体" w:hAnsi="宋体" w:eastAsia="宋体" w:cs="宋体"/>
          <w:sz w:val="28"/>
          <w:szCs w:val="28"/>
        </w:rPr>
        <w:t>围绕省级经济开发区大健康产业园定位，鼓励发展壮大信安堂，引进医药加工企业3家，推动全县医疗医药产业发展质量与效率显著提升，医疗服务规模化、规范化、信息化水平明显提高，优势品种和品牌效应进一步巩固，逐步形成具有绥阳特色的医疗医药体系。鼓励各类医疗服务机构联合健康养生基地共同设立个性化服务平台。引进企业建立医旅结合疗养项目，实现医疗和旅游资源的有效结合。</w:t>
      </w:r>
    </w:p>
    <w:p w14:paraId="75EF24E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1"/>
          <w:sz w:val="28"/>
          <w:szCs w:val="28"/>
        </w:rPr>
        <w:t>——</w:t>
      </w:r>
      <w:r>
        <w:rPr>
          <w:rFonts w:hint="eastAsia" w:ascii="宋体" w:hAnsi="宋体" w:eastAsia="宋体" w:cs="宋体"/>
          <w:sz w:val="28"/>
          <w:szCs w:val="28"/>
        </w:rPr>
        <w:t>大力</w:t>
      </w:r>
      <w:r>
        <w:rPr>
          <w:rFonts w:hint="eastAsia" w:ascii="宋体" w:hAnsi="宋体" w:eastAsia="宋体" w:cs="宋体"/>
          <w:bCs/>
          <w:kern w:val="21"/>
          <w:sz w:val="28"/>
          <w:szCs w:val="28"/>
        </w:rPr>
        <w:t>实施养生养老产业发展行动。</w:t>
      </w:r>
      <w:r>
        <w:rPr>
          <w:rFonts w:hint="eastAsia" w:ascii="宋体" w:hAnsi="宋体" w:eastAsia="宋体" w:cs="宋体"/>
          <w:sz w:val="28"/>
          <w:szCs w:val="28"/>
        </w:rPr>
        <w:t>打造医养服务中心</w:t>
      </w:r>
      <w:r>
        <w:rPr>
          <w:rFonts w:hint="eastAsia" w:ascii="宋体" w:hAnsi="宋体" w:eastAsia="宋体" w:cs="宋体"/>
          <w:bCs/>
          <w:sz w:val="28"/>
          <w:szCs w:val="28"/>
        </w:rPr>
        <w:t>1</w:t>
      </w:r>
      <w:r>
        <w:rPr>
          <w:rFonts w:hint="eastAsia" w:ascii="宋体" w:hAnsi="宋体" w:eastAsia="宋体" w:cs="宋体"/>
          <w:sz w:val="28"/>
          <w:szCs w:val="28"/>
        </w:rPr>
        <w:t>个、</w:t>
      </w:r>
      <w:r>
        <w:rPr>
          <w:rFonts w:hint="eastAsia" w:ascii="宋体" w:hAnsi="宋体" w:eastAsia="宋体" w:cs="宋体"/>
          <w:kern w:val="21"/>
          <w:sz w:val="28"/>
          <w:szCs w:val="28"/>
        </w:rPr>
        <w:t>乡镇中医康养保健服务中心</w:t>
      </w:r>
      <w:r>
        <w:rPr>
          <w:rFonts w:hint="eastAsia" w:ascii="宋体" w:hAnsi="宋体" w:eastAsia="宋体" w:cs="宋体"/>
          <w:bCs/>
          <w:kern w:val="21"/>
          <w:sz w:val="28"/>
          <w:szCs w:val="28"/>
        </w:rPr>
        <w:t>2</w:t>
      </w:r>
      <w:r>
        <w:rPr>
          <w:rFonts w:hint="eastAsia" w:ascii="宋体" w:hAnsi="宋体" w:eastAsia="宋体" w:cs="宋体"/>
          <w:kern w:val="21"/>
          <w:sz w:val="28"/>
          <w:szCs w:val="28"/>
        </w:rPr>
        <w:t>个、</w:t>
      </w:r>
      <w:r>
        <w:rPr>
          <w:rFonts w:hint="eastAsia" w:ascii="宋体" w:hAnsi="宋体" w:eastAsia="宋体" w:cs="宋体"/>
          <w:sz w:val="28"/>
          <w:szCs w:val="28"/>
        </w:rPr>
        <w:t>休闲养老服务中心1个、日间照料中心1个、康养酒店1家。建成以居家为基础、社区为依托、机构为补充、医养相结合的多层次养老服务体系，不断满足老年人多样化、多层次的养老服务需求。基本实现居家社区养老服务全覆盖，全县30%以上的养老机构能够以不同形式为入住老年人提供医疗卫生服务。每千名老年人口拥有养老床位数达到30张，护理型床位比例不低于20%。大力发展药浴、调理保健、慢病预防、针灸推拿等健康养生服务，培育发展养老、康复、老年产品等一体化产品，提升养老保健服务竞争力。</w:t>
      </w:r>
    </w:p>
    <w:p w14:paraId="69D340B8">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1"/>
          <w:sz w:val="28"/>
          <w:szCs w:val="28"/>
        </w:rPr>
        <w:t>——</w:t>
      </w:r>
      <w:r>
        <w:rPr>
          <w:rFonts w:hint="eastAsia" w:ascii="宋体" w:hAnsi="宋体" w:eastAsia="宋体" w:cs="宋体"/>
          <w:bCs/>
          <w:kern w:val="21"/>
          <w:sz w:val="28"/>
          <w:szCs w:val="28"/>
        </w:rPr>
        <w:t>大力实施体育旅游产业发展行动。</w:t>
      </w:r>
      <w:r>
        <w:rPr>
          <w:rFonts w:hint="eastAsia" w:ascii="宋体" w:hAnsi="宋体" w:eastAsia="宋体" w:cs="宋体"/>
          <w:sz w:val="28"/>
          <w:szCs w:val="28"/>
        </w:rPr>
        <w:t>综合开发利用独特的山地地形地貌和水体资源优势，建设生态体育公园1个、体育旅游精品线路2条、汽车露营地2个、</w:t>
      </w:r>
      <w:r>
        <w:rPr>
          <w:rFonts w:hint="eastAsia" w:ascii="宋体" w:hAnsi="宋体" w:eastAsia="宋体" w:cs="宋体"/>
          <w:bCs/>
          <w:sz w:val="28"/>
          <w:szCs w:val="28"/>
        </w:rPr>
        <w:t>健身步道20公里、社会化5人制足球场4个。全力打造体育旅游示范区、</w:t>
      </w:r>
      <w:r>
        <w:rPr>
          <w:rFonts w:hint="eastAsia" w:ascii="宋体" w:hAnsi="宋体" w:eastAsia="宋体" w:cs="宋体"/>
          <w:sz w:val="28"/>
          <w:szCs w:val="28"/>
        </w:rPr>
        <w:t>水上运动基地。打造一批龙舟赛，洞穴探秘等当地特色品牌赛事。全县经常参加体育锻炼人数达到常住人口的30%以上。</w:t>
      </w:r>
    </w:p>
    <w:p w14:paraId="36A39F94">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1"/>
          <w:sz w:val="28"/>
          <w:szCs w:val="28"/>
        </w:rPr>
        <w:t>——</w:t>
      </w:r>
      <w:r>
        <w:rPr>
          <w:rFonts w:hint="eastAsia" w:ascii="宋体" w:hAnsi="宋体" w:eastAsia="宋体" w:cs="宋体"/>
          <w:bCs/>
          <w:kern w:val="21"/>
          <w:sz w:val="28"/>
          <w:szCs w:val="28"/>
        </w:rPr>
        <w:t>大力实施健康旅游产业发展行动。创建国家3A级景区5个、星级酒店2家</w:t>
      </w:r>
      <w:r>
        <w:rPr>
          <w:rFonts w:hint="eastAsia" w:ascii="宋体" w:hAnsi="宋体" w:eastAsia="宋体" w:cs="宋体"/>
          <w:kern w:val="21"/>
          <w:sz w:val="28"/>
          <w:szCs w:val="28"/>
        </w:rPr>
        <w:t>、特色民宿10家、智慧旅游平台1个。加速推进红瑞乐邦养身基地、桃花江螺江九曲康养小镇等项目建设。</w:t>
      </w:r>
      <w:r>
        <w:rPr>
          <w:rFonts w:hint="eastAsia" w:ascii="宋体" w:hAnsi="宋体" w:eastAsia="宋体" w:cs="宋体"/>
          <w:sz w:val="28"/>
          <w:szCs w:val="28"/>
        </w:rPr>
        <w:t>努力创建知名全域旅游示范县。推动旅游景区和温泉集聚建设，以“游”为支撑的健康休闲旅游产业项目完成投资增长10%以上，助推绥阳旅游在高质量发展前提下保持高速增长。</w:t>
      </w:r>
    </w:p>
    <w:p w14:paraId="42E800AC">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1"/>
          <w:sz w:val="28"/>
          <w:szCs w:val="28"/>
        </w:rPr>
        <w:t>——</w:t>
      </w:r>
      <w:r>
        <w:rPr>
          <w:rFonts w:hint="eastAsia" w:ascii="宋体" w:hAnsi="宋体" w:eastAsia="宋体" w:cs="宋体"/>
          <w:bCs/>
          <w:kern w:val="21"/>
          <w:sz w:val="28"/>
          <w:szCs w:val="28"/>
        </w:rPr>
        <w:t>大力实施药材食材产业发展行动。</w:t>
      </w:r>
      <w:r>
        <w:rPr>
          <w:rFonts w:hint="eastAsia" w:ascii="宋体" w:hAnsi="宋体" w:eastAsia="宋体" w:cs="宋体"/>
          <w:kern w:val="0"/>
          <w:sz w:val="28"/>
          <w:szCs w:val="28"/>
        </w:rPr>
        <w:t>依托中部、北部区域</w:t>
      </w:r>
      <w:r>
        <w:rPr>
          <w:rFonts w:hint="eastAsia" w:ascii="宋体" w:hAnsi="宋体" w:eastAsia="宋体" w:cs="宋体"/>
          <w:sz w:val="28"/>
          <w:szCs w:val="28"/>
        </w:rPr>
        <w:t>金银花基地、</w:t>
      </w:r>
      <w:r>
        <w:rPr>
          <w:rFonts w:hint="eastAsia" w:ascii="宋体" w:hAnsi="宋体" w:eastAsia="宋体" w:cs="宋体"/>
          <w:kern w:val="0"/>
          <w:sz w:val="28"/>
          <w:szCs w:val="28"/>
        </w:rPr>
        <w:t>朝天椒基地、小米辣基地、</w:t>
      </w:r>
      <w:r>
        <w:rPr>
          <w:rFonts w:hint="eastAsia" w:ascii="宋体" w:hAnsi="宋体" w:eastAsia="宋体" w:cs="宋体"/>
          <w:sz w:val="28"/>
          <w:szCs w:val="28"/>
        </w:rPr>
        <w:t>中药材基地</w:t>
      </w:r>
      <w:r>
        <w:rPr>
          <w:rFonts w:hint="eastAsia" w:ascii="宋体" w:hAnsi="宋体" w:eastAsia="宋体" w:cs="宋体"/>
          <w:kern w:val="0"/>
          <w:sz w:val="28"/>
          <w:szCs w:val="28"/>
        </w:rPr>
        <w:t>、生态有机蔬菜种养植基地；发挥生态有机蔬菜、生态鸡、天麻、太子参、党参等资源优势，</w:t>
      </w:r>
      <w:r>
        <w:rPr>
          <w:rFonts w:hint="eastAsia" w:ascii="宋体" w:hAnsi="宋体" w:eastAsia="宋体" w:cs="宋体"/>
          <w:sz w:val="28"/>
          <w:szCs w:val="28"/>
        </w:rPr>
        <w:t>建成现代化综合性</w:t>
      </w:r>
      <w:r>
        <w:rPr>
          <w:rFonts w:hint="eastAsia" w:ascii="宋体" w:hAnsi="宋体" w:eastAsia="宋体" w:cs="宋体"/>
          <w:bCs/>
          <w:sz w:val="28"/>
          <w:szCs w:val="28"/>
        </w:rPr>
        <w:t>中药材物流基地1个，产地粗加工基地4个。综合开发利用中药</w:t>
      </w:r>
      <w:r>
        <w:rPr>
          <w:rFonts w:hint="eastAsia" w:ascii="宋体" w:hAnsi="宋体" w:eastAsia="宋体" w:cs="宋体"/>
          <w:sz w:val="28"/>
          <w:szCs w:val="28"/>
        </w:rPr>
        <w:t>材、生态农产品和中医药优势，结合</w:t>
      </w:r>
      <w:r>
        <w:rPr>
          <w:rFonts w:hint="eastAsia" w:ascii="宋体" w:hAnsi="宋体" w:eastAsia="宋体" w:cs="宋体"/>
          <w:kern w:val="0"/>
          <w:sz w:val="28"/>
          <w:szCs w:val="28"/>
        </w:rPr>
        <w:t>乡村宾馆、民宿等</w:t>
      </w:r>
      <w:r>
        <w:rPr>
          <w:rFonts w:hint="eastAsia" w:ascii="宋体" w:hAnsi="宋体" w:eastAsia="宋体" w:cs="宋体"/>
          <w:sz w:val="28"/>
          <w:szCs w:val="28"/>
        </w:rPr>
        <w:t>建设一批融合生态农产品种养植、旅游观光、食疗、中医保健等滋补养生基地。</w:t>
      </w:r>
    </w:p>
    <w:p w14:paraId="03961C6F">
      <w:pPr>
        <w:pStyle w:val="5"/>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139FFD5A">
      <w:pPr>
        <w:keepNext w:val="0"/>
        <w:keepLines w:val="0"/>
        <w:pageBreakBefore w:val="0"/>
        <w:numPr>
          <w:ilvl w:val="0"/>
          <w:numId w:val="7"/>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val="0"/>
          <w:sz w:val="28"/>
          <w:szCs w:val="28"/>
        </w:rPr>
      </w:pPr>
      <w:bookmarkStart w:id="45" w:name="_Toc19404"/>
      <w:r>
        <w:rPr>
          <w:rFonts w:hint="eastAsia" w:ascii="宋体" w:hAnsi="宋体" w:eastAsia="宋体" w:cs="宋体"/>
          <w:b/>
          <w:bCs w:val="0"/>
          <w:sz w:val="28"/>
          <w:szCs w:val="28"/>
        </w:rPr>
        <w:t>提升旅游服务质量</w:t>
      </w:r>
      <w:bookmarkEnd w:id="45"/>
    </w:p>
    <w:p w14:paraId="572957A5">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树立“游客至上、服务为王”理念，强调“大服务”观念，加强旅游服务标准化建设，建立健全酒店、餐饮、乡村民宿等涉旅行业服务地方标准，强化涉旅行业人员培训和管理，提升旅游行业服务质量和水平。</w:t>
      </w:r>
    </w:p>
    <w:p w14:paraId="5A593E41">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动旅游硬件与软件、线上与线下深度融合，加强旅游景区交通网络、功能配套等设施建设，不断增强旅游便捷度、舒适度、满意度。加快县内交通路网建设，提升县内交通主干道的公路等级，升级改造通往主要景区道路、通村公路，进一步完善旅游交通标识标牌，为游客提供便捷、舒适、安全的出行条件，打造“快旅慢游”旅游交通体系。</w:t>
      </w:r>
      <w:r>
        <w:rPr>
          <w:rFonts w:hint="eastAsia" w:ascii="宋体" w:hAnsi="宋体" w:eastAsia="宋体" w:cs="宋体"/>
          <w:kern w:val="0"/>
          <w:sz w:val="28"/>
          <w:szCs w:val="28"/>
        </w:rPr>
        <w:t>加快县内旅游集散地、车站、景区、宾馆饭店、乡村旅游扶贫村等重点涉旅场所的无线上网环境建设，提升旅游城市公共信息服务能力。</w:t>
      </w:r>
      <w:r>
        <w:rPr>
          <w:rFonts w:hint="eastAsia" w:ascii="宋体" w:hAnsi="宋体" w:eastAsia="宋体" w:cs="宋体"/>
          <w:sz w:val="28"/>
          <w:szCs w:val="28"/>
        </w:rPr>
        <w:t>利用紧邻遵义市区的区位优势，建设集吃、住、行、游、购、娱于一体，兼具旅游体验展示、旅游咨询、交通转换等功能，面向成渝地区双城经济圈和黔北旅游服务的集散中心。培育本土美食品牌，挖掘绥阳本土特色菜品及烹饪工艺。依托绥阳医药企业独特资源，深化医药与养生保健、餐饮的融合，开发医药养生保健产品和中药滋补系列餐饮等产品。加大对特色餐饮的扶持力度，引进省内外知名餐饮企业（餐饮店），提升餐饮特色街区规格，重点培育林达美食街等特色餐饮街区，着力打造农家乐聚集区。扩容提质住宿业，引进一批高端酒店、商务快捷酒店和精品客栈，发展乡村旅舍、家庭旅馆。至2025年，力争全县各类旅游住宿设施床位数达2万张，旅游业提供直接就业岗位5000个以上，带动社会就业机会1.5万个以上，游客平均停留时间提高到2天以上。</w:t>
      </w:r>
    </w:p>
    <w:p w14:paraId="56D1C873">
      <w:pPr>
        <w:keepNext w:val="0"/>
        <w:keepLines w:val="0"/>
        <w:pageBreakBefore w:val="0"/>
        <w:widowControl/>
        <w:shd w:val="clear" w:color="auto" w:fill="FFFFFF"/>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——加强智能化旅游服务系统、线上旅游服务工程建设，推动大数据与旅游无缝对接，推进旅游消费、服务、营销和管理由传统旅游信息化向现代旅游智能化转变。</w:t>
      </w:r>
      <w:r>
        <w:rPr>
          <w:rFonts w:hint="eastAsia" w:ascii="宋体" w:hAnsi="宋体" w:eastAsia="宋体" w:cs="宋体"/>
          <w:kern w:val="0"/>
          <w:sz w:val="28"/>
          <w:szCs w:val="28"/>
        </w:rPr>
        <w:t>建立完善旅游信息基础数据平台，实现旅游信息数据向旅游部门、旅游企业、电子商务平台开放，保证旅游信息数据的准确性、及时性和开放性。建立游客信息服务体系，建设统一受理、分级处理的旅游投诉平台。县旅游部门要开放有关旅游行业发展数据，建立开放平台，定期发布相关数据，并接受游客、企业和有关方面对于旅游服务质量的信息反馈。建立健全信息查询、旅游投诉和旅游救援等方面信息化服务体系。大力开发运用基于移动通信终端的旅游应用软件，提供无缝化、即时化、精确化、互动化的旅游信息服务。建立景区门票预约制度。建立门票预约制度、景区拥挤程度预测机制和旅游舒适度的评价机制，建立游客实时评价的旅游景区动态评价机制。构建智慧旅游营销体系。依据旅游大数据挖掘，建立智慧旅游营销系统，拓展新的旅游营销方式，开展针对性强的旅游营销。逐步建立广播、电视、短信、多媒体等传统渠道和移动互联网、微博、微信等新媒体渠道相结合的全媒体信息传播机制。结合乡村旅游特点，大力发展智慧乡村游，支持建设乡村旅游公共营销平台。</w:t>
      </w:r>
    </w:p>
    <w:p w14:paraId="50061D19">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——深化旅游管理体制机制改革，推动旅游景区、旅行社、旅游饭店、旅游客运企业等组建旅游发展联盟，充分发挥旅游协会作用。完善旅游管理机制，提升旅游业监管质量和效能。</w:t>
      </w:r>
    </w:p>
    <w:p w14:paraId="2177334F">
      <w:pPr>
        <w:pStyle w:val="2"/>
        <w:keepNext w:val="0"/>
        <w:keepLines w:val="0"/>
        <w:pageBreakBefore w:val="0"/>
        <w:kinsoku/>
        <w:wordWrap/>
        <w:overflowPunct/>
        <w:topLinePunct w:val="0"/>
        <w:autoSpaceDE/>
        <w:autoSpaceDN/>
        <w:bidi w:val="0"/>
        <w:spacing w:after="0" w:line="520" w:lineRule="exact"/>
        <w:ind w:left="0" w:leftChars="0"/>
        <w:textAlignment w:val="auto"/>
        <w:rPr>
          <w:rFonts w:hint="eastAsia" w:ascii="宋体" w:hAnsi="宋体" w:eastAsia="宋体" w:cs="宋体"/>
          <w:sz w:val="28"/>
          <w:szCs w:val="28"/>
        </w:rPr>
      </w:pPr>
    </w:p>
    <w:p w14:paraId="5E5C91A9">
      <w:pPr>
        <w:keepNext w:val="0"/>
        <w:keepLines w:val="0"/>
        <w:pageBreakBefore w:val="0"/>
        <w:kinsoku/>
        <w:wordWrap/>
        <w:overflowPunct/>
        <w:topLinePunct w:val="0"/>
        <w:autoSpaceDE/>
        <w:autoSpaceDN/>
        <w:bidi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专栏10  旅游重点建设项目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1A09F8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9323D4F">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风华镇国际温泉度假区项目、关子山农旅一体景区建设项目、干河沟旅游休闲度假区、太白镇龙门峡景区项目、东山村旅游观光项目、小关乡千草溪穿越探秘生态谷旅游开发项目、小关银花洞旅游开发项目、宽阔镇避暑民宿集群及配套服务项目、芙蓉印象生态休闲观光基地项目、香树湾乡村旅游示范带项目、九龙生态乡村田园综合体项目、木水坝山水情缘休闲旅游区项目、周武台乡村民宿度假区项目、古柏山庄旅游休闲度假区、丁家堡乡村民宿旅游度假区、宽阔九曲河生态茶园农旅融合项目、运动基地建设项目、枧坝镇鸡丝洞溶洞旅游综合开发建设项目、枧坝镇盐泉国际旅游度假村项目、新场乡村振兴特色民宿建设项目、风华镇银堡湿地公园开发项目、风华镇地热温泉旅游建设项目、小关乡流水漂流项目、宽阔八瓜顶滑雪滑草场、鸣泉谷景区二期项目、枧坝镇双门峡三期扩建工程、诗乡花海升级打造项目、枧坝镇福园旅游开发项目、崖上秋歌景区旅游开发项目、宽阔乡村旅游示范基地、宽阔乡村旅游扶贫产业基础设施巩固提升工程、风华镇康养大楼建设项目、温泉康养建设项目、大健康生态产业园项目、红瑞健康养生度假休闲基地项目、芙蓉江生态康养旅游带项目、中医康养保健服务中心建设项目、森林康养项目、茅垭镇茅垭村康养中心建设、宽阔红河康养避暑度假基地、温泉民宿项目、红果树负氧离子康体养生聚集区项目。</w:t>
            </w:r>
          </w:p>
        </w:tc>
      </w:tr>
    </w:tbl>
    <w:p w14:paraId="235B0E67">
      <w:pPr>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rPr>
      </w:pPr>
    </w:p>
    <w:p w14:paraId="152D2312">
      <w:pPr>
        <w:rPr>
          <w:rFonts w:hint="eastAsia" w:ascii="宋体" w:hAnsi="宋体" w:eastAsia="宋体" w:cs="宋体"/>
        </w:rPr>
        <w:sectPr>
          <w:headerReference r:id="rId16" w:type="default"/>
          <w:pgSz w:w="8392" w:h="11850"/>
          <w:pgMar w:top="1247" w:right="879" w:bottom="1020" w:left="879" w:header="851" w:footer="992" w:gutter="0"/>
          <w:pgNumType w:fmt="decimal"/>
          <w:cols w:space="425" w:num="1"/>
          <w:rtlGutter w:val="0"/>
          <w:docGrid w:type="lines" w:linePitch="456" w:charSpace="0"/>
        </w:sectPr>
      </w:pPr>
      <w:r>
        <w:rPr>
          <w:rFonts w:hint="eastAsia" w:ascii="宋体" w:hAnsi="宋体" w:eastAsia="宋体" w:cs="宋体"/>
        </w:rPr>
        <w:br w:type="page"/>
      </w:r>
    </w:p>
    <w:p w14:paraId="7DF1B9B5">
      <w:pPr>
        <w:spacing w:line="520" w:lineRule="exact"/>
        <w:jc w:val="center"/>
        <w:outlineLvl w:val="0"/>
        <w:rPr>
          <w:rFonts w:hint="eastAsia" w:ascii="宋体" w:hAnsi="宋体" w:eastAsia="宋体" w:cs="宋体"/>
          <w:b/>
          <w:bCs w:val="0"/>
          <w:sz w:val="36"/>
          <w:szCs w:val="36"/>
        </w:rPr>
      </w:pPr>
      <w:bookmarkStart w:id="46" w:name="_Toc31729"/>
      <w:r>
        <w:rPr>
          <w:rFonts w:hint="eastAsia" w:ascii="宋体" w:hAnsi="宋体" w:eastAsia="宋体" w:cs="宋体"/>
          <w:b/>
          <w:bCs w:val="0"/>
          <w:sz w:val="36"/>
          <w:szCs w:val="36"/>
        </w:rPr>
        <w:t>第七章  坚持创新驱动发展，                     着力激发高质量发展新动能</w:t>
      </w:r>
      <w:bookmarkEnd w:id="46"/>
    </w:p>
    <w:p w14:paraId="476B8DBD">
      <w:pPr>
        <w:spacing w:line="520" w:lineRule="exact"/>
        <w:jc w:val="center"/>
        <w:outlineLvl w:val="0"/>
        <w:rPr>
          <w:rFonts w:hint="eastAsia" w:ascii="宋体" w:hAnsi="宋体" w:eastAsia="宋体" w:cs="宋体"/>
          <w:bCs/>
          <w:sz w:val="36"/>
          <w:szCs w:val="36"/>
        </w:rPr>
      </w:pPr>
    </w:p>
    <w:p w14:paraId="4F9AAC2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坚持创新在现代化建设全局中的核心地位，把科技创新作为推动高质量的战略支撑，用好互联网带来的重大机遇，深入实施创新驱动发展战略和大数据战略行动，不断增强发展新动能。</w:t>
      </w:r>
    </w:p>
    <w:p w14:paraId="245DA195">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0BF945D9">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47" w:name="_Toc4417"/>
      <w:r>
        <w:rPr>
          <w:rFonts w:hint="eastAsia" w:ascii="宋体" w:hAnsi="宋体" w:eastAsia="宋体" w:cs="宋体"/>
          <w:b/>
          <w:bCs/>
          <w:sz w:val="28"/>
          <w:szCs w:val="28"/>
        </w:rPr>
        <w:t>深入实施创新驱动发展战略</w:t>
      </w:r>
      <w:bookmarkEnd w:id="47"/>
    </w:p>
    <w:p w14:paraId="4331B98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突出科技创新在全面创新中的引领作用，大力实施“四种工程”，全面推进资本、技术、管理等要素创新。全面激发创新创业活力，释放新需求，创造新供给，推动新技术、新产业、新业态蓬勃发展。强化企业创新主体地位和主导作用，形成一批有竞争力的创新型领军企业，支持创新型中心企业健康发展。加强创新环境建设，实施严格的知识产权保护制度。加快推动以文化旅游和商贸物流为引领的服务业创新发展，运用现代经营理念和现代信息技术等提升传统服务业。大力发展智慧教育、智慧医疗、智慧旅游、智慧物流等数字化新业态。</w:t>
      </w:r>
    </w:p>
    <w:p w14:paraId="7AFF490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创新平台建设。加强龙头型创新企业培育，构建公共创新服务平台体系和国家级科技示范园区，全面提升区域科技创新实力。充分发挥企业技术创新主体作用，通过资金支持和政策扶持，支持企业研发体系建设，提升企业核心竞争力和产品科技含量。培育1-2家科技创新型领军企业。全面发挥科技创新型领军企业对中小企业的创新辐射作用，培育科技型企业成长梯队。通过产业技术研发创新、科技文献服务、知识产权服务、孵育孵化等平台建设，完善公共创新平台支撑体系。到2025年，建立创新创业的“众创空间”2-3家。规模以上企业建立研发机构的比例达40%，企业（工程）技术中心总数达到8家，提升全县企业科技创新能力。加强与高校院所、企业工程（技术）中心等进行科研合作，实现产、学、研一体化建设，推进科技成果向现实生产力转化。积极打造特色区域性创新载体，建设国家科技示范园。</w:t>
      </w:r>
    </w:p>
    <w:p w14:paraId="661387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促进大众创业万众创新。培育一批中小微创新型企业和创客。培育1个以上省级科技企业孵化器，探索设立孵化器发展基金和新兴产业孵化基金。积极实施大学生和职业教育学生创业培训计划，加强大学生和职业教育学生创业教育和引导。实施促进农民工返乡创业就业行动计划，围绕辣椒、茶叶、果蔬、中药、乡村旅游等领域，吸引农民工返乡创业。大力发展农民合作社、家庭农场等新型农业经营主体，积极创建省级农民创业园和农民创业示范基地。大力推进“农村致富带头人培育工程”、“春晖行动”计划等，促进社会创业就业。</w:t>
      </w:r>
    </w:p>
    <w:p w14:paraId="1123F8F3">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031928BC">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48" w:name="_Toc31239"/>
      <w:r>
        <w:rPr>
          <w:rFonts w:hint="eastAsia" w:ascii="宋体" w:hAnsi="宋体" w:eastAsia="宋体" w:cs="宋体"/>
          <w:b/>
          <w:bCs/>
          <w:sz w:val="28"/>
          <w:szCs w:val="28"/>
        </w:rPr>
        <w:t>着力推动数字经济发展</w:t>
      </w:r>
      <w:bookmarkEnd w:id="48"/>
    </w:p>
    <w:p w14:paraId="7BFEF0A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深化大数据应用，推动数字产业化、产业数字化，着力建设“数字绥阳”。深入落实</w:t>
      </w:r>
      <w:r>
        <w:rPr>
          <w:rFonts w:hint="eastAsia" w:ascii="宋体" w:hAnsi="宋体" w:eastAsia="宋体" w:cs="宋体"/>
          <w:sz w:val="28"/>
          <w:szCs w:val="28"/>
        </w:rPr>
        <w:t>“万企融合”大行动，推动大数据与实体经济深度融合。升级发展农村电商，丰富乡村经济业态。推进工业数字化改造，提升生产经营管理数字化水平。用好农业产销智慧对接等平台，积极发展智慧农业，推进农业向生产管理精准化、市场销售网络化融合。推动5G网络等新型基础设施建设，推进全县通信网络升级改造，基本实现“百兆乡村、千兆城区”光纤覆盖。加快数字社会建设，推进公共数据资源共享开放，建立大数据辅助决策长效机制，全面增强政府科学决策和风险防范水平。推动服务业向平台型、智慧型、共享型融合升级，发展智慧服务业。到2025年，建设5G基站800个。</w:t>
      </w:r>
    </w:p>
    <w:p w14:paraId="1F0FE879">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6A665B41">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专栏11数字经济重点项目</w:t>
      </w:r>
    </w:p>
    <w:tbl>
      <w:tblPr>
        <w:tblStyle w:val="16"/>
        <w:tblW w:w="750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5"/>
        <w:gridCol w:w="6850"/>
        <w:gridCol w:w="325"/>
      </w:tblGrid>
      <w:tr w14:paraId="37E74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23" w:hRule="atLeast"/>
          <w:jc w:val="center"/>
        </w:trPr>
        <w:tc>
          <w:tcPr>
            <w:tcW w:w="7500" w:type="dxa"/>
            <w:gridSpan w:val="3"/>
            <w:vAlign w:val="top"/>
          </w:tcPr>
          <w:p w14:paraId="26F617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县级医疗机构信息化建设项目、基础城域网项目、智慧城市公共基础数据库项目、智慧城市公共信息服务平台建设项目、绥阳移动5G传输环网建设项目、绥阳移动5G网络建设项目、绥阳县小关乡5G通讯及物联网大数据建设项目、政务中心大数据应用项目、数字档案馆项目、经济运行监控平台建设项目、智慧交通、智慧水利、智慧医疗、中小学信息</w:t>
            </w:r>
          </w:p>
        </w:tc>
      </w:tr>
      <w:tr w14:paraId="3307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25" w:type="dxa"/>
          <w:wAfter w:w="325" w:type="dxa"/>
          <w:jc w:val="center"/>
        </w:trPr>
        <w:tc>
          <w:tcPr>
            <w:tcW w:w="6850" w:type="dxa"/>
          </w:tcPr>
          <w:p w14:paraId="1B95D70B">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vertAlign w:val="baseline"/>
              </w:rPr>
            </w:pPr>
            <w:r>
              <w:rPr>
                <w:rFonts w:hint="eastAsia" w:ascii="宋体" w:hAnsi="宋体" w:eastAsia="宋体" w:cs="宋体"/>
                <w:kern w:val="0"/>
                <w:sz w:val="28"/>
                <w:szCs w:val="28"/>
              </w:rPr>
              <w:t>化及教师信息中心、智慧环保、智慧文化、智慧城管、智慧社区建设项目、互联网+电商产业园、互联网+中小企业云服务平台、综合技术检测中心。</w:t>
            </w:r>
          </w:p>
        </w:tc>
      </w:tr>
    </w:tbl>
    <w:p w14:paraId="113C610A">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7B4B5615">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49" w:name="_Toc32737"/>
      <w:r>
        <w:rPr>
          <w:rFonts w:hint="eastAsia" w:ascii="宋体" w:hAnsi="宋体" w:eastAsia="宋体" w:cs="宋体"/>
          <w:b/>
          <w:bCs/>
          <w:sz w:val="28"/>
          <w:szCs w:val="28"/>
        </w:rPr>
        <w:t>培育壮大创新主体</w:t>
      </w:r>
      <w:bookmarkEnd w:id="49"/>
    </w:p>
    <w:p w14:paraId="229855A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创新主体。一是强化企业技术创新主体地位，完善研发投入激励机制。发挥行业龙头企业的创新优势，挖掘中小微企业的创新潜力，推动企业自主或联合建立研发机构，深化产学研合作，完善科研成果转化运用政策支撑体系，推动形成以企业技术中心为主要形式的创新体系,力争建成1家具有较强影响力的装备制造业创新中心。二是围绕“四大产业”，以骨干企业为龙头，与高等院校、科研院所、行业协会、上下游企业组建产业联盟，推动重大技术攻关。支持骨干企业和高新技术企业建立企业研发机构，引导和鼓励企业加大研发投入，建立健全行业协会、企业家协会、商会交流协作机制，推进协同创新，集聚创新资源，共享创新动能。三是大力推进军民融合，重点支持大数据及人工智能、特色农产品加工等产业发展，推进构建上、中、下游产业链，促进全产业链技术整合提升，提升产业区域竞争优势。深化军民科技协同创新，积极争取一批军民融合新技术、新产品、新工艺、新材料项目落户绥阳。四是深入实施“千企改造”工程，以“两化”融合为重点，加快智能化改造步伐，推动金业、力强等企业加快技术改造。集中力量突破一批核心基础零部件、先进基础工艺技术瓶颈，提升绥阳制造业产品质量和市场竞争力，打造一批国家级、省级优质企业。五是引导企业注重品牌建设和运营，整合资源力量创品牌、提品质，形成具有自主知识产权的名牌产品。重点支持农产品加工企业发挥自身优势创建行业品牌，打造一批中国驰名商标和地理标识保护产品。鼓励企业制定国家、行业、地方标准，提升企业核心竞争力。到2025年，力争获得国家级、省级质量奖2个，驰名商标2个，地理标志保护产品4个。</w:t>
      </w:r>
    </w:p>
    <w:p w14:paraId="7EBD27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政府引导、企业主体，主动承接国家和发达地区科技成果转移转化。推进创新平台建设，借助遵义院士工作中心等各类创新平台，巩固陶瓷、水泵、装备制造等行业自主创新能力在同行业的领先地位。支持企业创新创造，推进科技型中小企业扩量提质，激励企业技术创新，培育一批创新型企业家。依托“航天十院”推进军民融合产业创新发展。强化企业创新主体地位，健全创新型企业政策扶持体系，鼓励企业加大研发投入，支持企业组团建设共性技术平台。</w:t>
      </w:r>
    </w:p>
    <w:p w14:paraId="320D6CC8">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eastAsia" w:ascii="宋体" w:hAnsi="宋体" w:eastAsia="宋体" w:cs="宋体"/>
          <w:sz w:val="28"/>
          <w:szCs w:val="28"/>
        </w:rPr>
      </w:pPr>
    </w:p>
    <w:p w14:paraId="375FFC2E">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50" w:name="_Toc10057"/>
      <w:r>
        <w:rPr>
          <w:rFonts w:hint="eastAsia" w:ascii="宋体" w:hAnsi="宋体" w:eastAsia="宋体" w:cs="宋体"/>
          <w:b/>
          <w:bCs/>
          <w:sz w:val="28"/>
          <w:szCs w:val="28"/>
        </w:rPr>
        <w:t>激发社会创新活力</w:t>
      </w:r>
      <w:bookmarkEnd w:id="50"/>
    </w:p>
    <w:p w14:paraId="623971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施人才引进行动，培养和引进一批创新型、应用型、技能型人才和团队。健全以创新能力、质量、实效、贡献为导向的科技人才评价体系，着力释放各类人才创新活力。健全柔性引才政策，加大人才引进保障服务，大力吸引“候鸟型”专家、“星期天”工程师等来绥发展。实施知识更新工程、技能提升行动，壮大高水平工程师和高技能人才队伍。深化科技体制机制改革，推进项目、人才、资金一体化配置。完善科研人员职务发明成果权益分享机制。完善科技评价机制，优化科技奖励项目。加大财政科技经费投入。弘扬科学家精神和工匠精神，加强科普工作，开展科创赛会活动，营造崇尚创新的社会氛围。</w:t>
      </w:r>
    </w:p>
    <w:p w14:paraId="737759E6">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sectPr>
          <w:headerReference r:id="rId17" w:type="default"/>
          <w:pgSz w:w="8392" w:h="11850"/>
          <w:pgMar w:top="1247" w:right="879" w:bottom="1020" w:left="879" w:header="851" w:footer="992" w:gutter="0"/>
          <w:pgNumType w:fmt="decimal"/>
          <w:cols w:space="425" w:num="1"/>
          <w:rtlGutter w:val="0"/>
          <w:docGrid w:type="lines" w:linePitch="456" w:charSpace="0"/>
        </w:sectPr>
      </w:pPr>
      <w:r>
        <w:rPr>
          <w:rFonts w:hint="eastAsia" w:ascii="宋体" w:hAnsi="宋体" w:eastAsia="宋体" w:cs="宋体"/>
          <w:sz w:val="28"/>
          <w:szCs w:val="28"/>
        </w:rPr>
        <w:br w:type="page"/>
      </w:r>
    </w:p>
    <w:p w14:paraId="3A66E2FB">
      <w:pPr>
        <w:pStyle w:val="32"/>
        <w:numPr>
          <w:ilvl w:val="0"/>
          <w:numId w:val="9"/>
        </w:numPr>
        <w:adjustRightInd w:val="0"/>
        <w:snapToGrid w:val="0"/>
        <w:spacing w:line="520" w:lineRule="exact"/>
        <w:ind w:firstLine="720"/>
        <w:jc w:val="center"/>
        <w:outlineLvl w:val="0"/>
        <w:rPr>
          <w:rFonts w:hint="eastAsia" w:ascii="宋体" w:hAnsi="宋体" w:eastAsia="宋体" w:cs="宋体"/>
          <w:b/>
          <w:bCs w:val="0"/>
          <w:sz w:val="36"/>
          <w:szCs w:val="36"/>
        </w:rPr>
      </w:pPr>
      <w:bookmarkStart w:id="51" w:name="_Toc26279"/>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坚持生态优先绿色发展，在不断实践中续写“两山论”新篇章</w:t>
      </w:r>
      <w:bookmarkEnd w:id="51"/>
    </w:p>
    <w:p w14:paraId="53E14B12">
      <w:pPr>
        <w:pStyle w:val="32"/>
        <w:adjustRightInd w:val="0"/>
        <w:snapToGrid w:val="0"/>
        <w:spacing w:line="520" w:lineRule="exact"/>
        <w:ind w:firstLine="0" w:firstLineChars="0"/>
        <w:jc w:val="center"/>
        <w:rPr>
          <w:rFonts w:hint="eastAsia" w:ascii="宋体" w:hAnsi="宋体" w:eastAsia="宋体" w:cs="宋体"/>
          <w:b/>
          <w:bCs w:val="0"/>
          <w:sz w:val="36"/>
          <w:szCs w:val="36"/>
        </w:rPr>
      </w:pPr>
    </w:p>
    <w:p w14:paraId="249D9DC0">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牢固树立绿水青山就是金山银山的理念，牢牢守好发展和生态两条底线，坚决贯彻落实推动长江经济带发展“共抓大保护、不搞大开发”要求，大力实施生态环境提升行动，推动经济社会发展全面绿色转型，实现经济社会高质量发展和生态环境保护协同推进，推进美丽绥阳建设。</w:t>
      </w:r>
    </w:p>
    <w:p w14:paraId="6D7EC798">
      <w:pPr>
        <w:pStyle w:val="5"/>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2CEB7468">
      <w:pPr>
        <w:keepNext w:val="0"/>
        <w:keepLines w:val="0"/>
        <w:pageBreakBefore w:val="0"/>
        <w:widowControl w:val="0"/>
        <w:numPr>
          <w:ilvl w:val="0"/>
          <w:numId w:val="10"/>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52" w:name="_Toc10492"/>
      <w:r>
        <w:rPr>
          <w:rFonts w:hint="eastAsia" w:ascii="宋体" w:hAnsi="宋体" w:eastAsia="宋体" w:cs="宋体"/>
          <w:b/>
          <w:bCs/>
          <w:sz w:val="28"/>
          <w:szCs w:val="28"/>
        </w:rPr>
        <w:t>加强国土空间开发保护</w:t>
      </w:r>
      <w:bookmarkEnd w:id="52"/>
    </w:p>
    <w:p w14:paraId="2B0A536D">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立足资源环境承载能力，科学有效统筹布局生态、农业、城镇等功能空间，严守生态保护红线、永久基本农田、城镇开发边界等控制线，建立健全国土空间规划体系，严格落实长江经济带战略环评“三线一单”硬约束。实行自然资源开发利用总量和强度双控制，强化山地和地下空间开发利用，提升自然资源节约集约利用水平。落实长江十年禁渔，实施三江河、洛安江、芙蓉江生态保护修护工程。深入实施</w:t>
      </w:r>
      <w:r>
        <w:rPr>
          <w:rFonts w:hint="eastAsia" w:ascii="宋体" w:hAnsi="宋体" w:eastAsia="宋体" w:cs="宋体"/>
          <w:sz w:val="28"/>
          <w:szCs w:val="28"/>
          <w:shd w:val="clear" w:color="auto" w:fill="FFFFFF"/>
        </w:rPr>
        <w:t>国家储备林、</w:t>
      </w:r>
      <w:r>
        <w:rPr>
          <w:rFonts w:hint="eastAsia" w:ascii="宋体" w:hAnsi="宋体" w:eastAsia="宋体" w:cs="宋体"/>
          <w:sz w:val="28"/>
          <w:szCs w:val="28"/>
        </w:rPr>
        <w:t>天然林保护、防护林建设、植被恢复建设，重点抓好宽阔水原始森林动植物保护能力提升和生态修复工程，持续开展国土绿化行动，着力推进退耕还林、低效林改造、森林抚育，积极构建自然保护地体系。到2025年，全县森林面积达234.79万亩，森林覆盖率达62%以上；着力推进乡村“四旁”树建设，乡村绿化率达40%以上。城市建成区绿化覆盖率达到省要求。深入实施水土流失、石漠化综合治理和历史遗留矿山生态修复，推进地质灾害综合防治。加强外来物种管控。</w:t>
      </w:r>
      <w:r>
        <w:rPr>
          <w:rFonts w:hint="eastAsia" w:ascii="宋体" w:hAnsi="宋体" w:eastAsia="宋体" w:cs="宋体"/>
          <w:bCs/>
          <w:sz w:val="28"/>
          <w:szCs w:val="28"/>
        </w:rPr>
        <w:t>实施生物多样性保护。加强以宽阔水国家级自然保护区为重点的生态保护与修复。</w:t>
      </w:r>
      <w:r>
        <w:rPr>
          <w:rFonts w:hint="eastAsia" w:ascii="宋体" w:hAnsi="宋体" w:eastAsia="宋体" w:cs="宋体"/>
          <w:sz w:val="28"/>
          <w:szCs w:val="28"/>
        </w:rPr>
        <w:t>全面落实河长制、林长制</w:t>
      </w:r>
      <w:r>
        <w:rPr>
          <w:rFonts w:hint="eastAsia" w:ascii="宋体" w:hAnsi="宋体" w:eastAsia="宋体" w:cs="宋体"/>
          <w:bCs/>
          <w:sz w:val="28"/>
          <w:szCs w:val="28"/>
        </w:rPr>
        <w:t>、坝长制</w:t>
      </w:r>
      <w:r>
        <w:rPr>
          <w:rFonts w:hint="eastAsia" w:ascii="宋体" w:hAnsi="宋体" w:eastAsia="宋体" w:cs="宋体"/>
          <w:sz w:val="28"/>
          <w:szCs w:val="28"/>
        </w:rPr>
        <w:t>。</w:t>
      </w:r>
    </w:p>
    <w:p w14:paraId="4EB3A537">
      <w:pPr>
        <w:pStyle w:val="5"/>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2499DB87">
      <w:pPr>
        <w:keepNext w:val="0"/>
        <w:keepLines w:val="0"/>
        <w:pageBreakBefore w:val="0"/>
        <w:widowControl w:val="0"/>
        <w:numPr>
          <w:ilvl w:val="0"/>
          <w:numId w:val="10"/>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53" w:name="_Toc15655"/>
      <w:r>
        <w:rPr>
          <w:rFonts w:hint="eastAsia" w:ascii="宋体" w:hAnsi="宋体" w:eastAsia="宋体" w:cs="宋体"/>
          <w:b/>
          <w:bCs/>
          <w:sz w:val="28"/>
          <w:szCs w:val="28"/>
        </w:rPr>
        <w:t>持续打好污染防治攻坚战</w:t>
      </w:r>
      <w:bookmarkEnd w:id="53"/>
    </w:p>
    <w:p w14:paraId="4DF42A1A">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全面落实“河长制”“坝长制”</w:t>
      </w:r>
      <w:r>
        <w:rPr>
          <w:rFonts w:hint="eastAsia" w:ascii="宋体" w:hAnsi="宋体" w:eastAsia="宋体" w:cs="宋体"/>
          <w:sz w:val="28"/>
          <w:szCs w:val="28"/>
        </w:rPr>
        <w:t>“林长制”，高效管护水流、耕地、森林等自然资源。健全源头预防、过程控制、损害赔偿、责任追究的污染防治体系，</w:t>
      </w:r>
      <w:r>
        <w:rPr>
          <w:rFonts w:hint="eastAsia" w:ascii="宋体" w:hAnsi="宋体" w:eastAsia="宋体" w:cs="宋体"/>
          <w:bCs/>
          <w:sz w:val="28"/>
          <w:szCs w:val="28"/>
        </w:rPr>
        <w:t>树立底线思维，深入打好污染防治“五场战役”，</w:t>
      </w:r>
      <w:r>
        <w:rPr>
          <w:rFonts w:hint="eastAsia" w:ascii="宋体" w:hAnsi="宋体" w:eastAsia="宋体" w:cs="宋体"/>
          <w:sz w:val="28"/>
          <w:szCs w:val="28"/>
        </w:rPr>
        <w:t>提升生态环境质量。</w:t>
      </w:r>
    </w:p>
    <w:p w14:paraId="2BE10FF6">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入实施“双十工程”，推进重点集镇以上集中饮用水水源地规范化建设，巩固生态环境治理成果。加强洛安江、芙蓉江以及中小河流域等河流污染治理，加大流域沿线村庄面源污染环境整治，实施严格的饮用水源地保护制度，推进乡镇集中式饮用水源地环境综合整治，从源头上杜绝和消除重大环境污染事故发生。</w:t>
      </w:r>
    </w:p>
    <w:p w14:paraId="62E411EE">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持续打好污染防治攻坚战，持续开展“散乱污”企业清理整治，加强扬尘和挥发性有机物综合整治，不断改善环境空气质量。建立健全区域大气污染联防联控机制。到2025年，县城空气质量指数达到优良天数占比保持在97%以上。</w:t>
      </w:r>
    </w:p>
    <w:p w14:paraId="10F8F5F0">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全面提升城区雨污分离、城乡生活污水、园区工业废水收集处理能力，加强地下水污染防治。健全乡镇集中式污水处理设施管理运行长效机制。推进土壤污染治理，加强白色污染治理，提升生活垃圾处理转运能力。补齐生活垃圾分类和处理设施短板，全面实施生活垃圾分类处理。加大问题渣场整治力度。加强危险废物和医疗废物收集处理。加强农业面源污染和规模化畜禽养殖污染防治。实施以排污许可制为核心的固定污染源监管制度，落实生态环境保护督察制度，建立健全公诉和执法司法制度，推进跨区域污染防治、环境监管和应急处置联动。到2025年，</w:t>
      </w:r>
      <w:r>
        <w:rPr>
          <w:rFonts w:hint="eastAsia" w:ascii="宋体" w:hAnsi="宋体" w:eastAsia="宋体" w:cs="宋体"/>
          <w:sz w:val="28"/>
          <w:szCs w:val="28"/>
        </w:rPr>
        <w:t>城镇污水处理率达95%以上、农村畜禽粪污无害化处理率达90%以上、城乡生活垃圾无害化处理率达90%以上。</w:t>
      </w:r>
    </w:p>
    <w:p w14:paraId="47DDE4C6">
      <w:pPr>
        <w:pStyle w:val="5"/>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74E9D51C">
      <w:pPr>
        <w:keepNext w:val="0"/>
        <w:keepLines w:val="0"/>
        <w:pageBreakBefore w:val="0"/>
        <w:widowControl w:val="0"/>
        <w:numPr>
          <w:ilvl w:val="0"/>
          <w:numId w:val="10"/>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54" w:name="_Toc6611"/>
      <w:r>
        <w:rPr>
          <w:rFonts w:hint="eastAsia" w:ascii="宋体" w:hAnsi="宋体" w:eastAsia="宋体" w:cs="宋体"/>
          <w:b/>
          <w:bCs/>
          <w:sz w:val="28"/>
          <w:szCs w:val="28"/>
        </w:rPr>
        <w:t>大力发展绿色经济</w:t>
      </w:r>
      <w:bookmarkEnd w:id="54"/>
    </w:p>
    <w:p w14:paraId="3227FF3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坚持生态产业化、产业生态化发展思路，完善绿色经济“四型”产业发展引导目录，建设绿色经济强县。</w:t>
      </w:r>
    </w:p>
    <w:p w14:paraId="630795E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——深入实施绿色制造专项行动，</w:t>
      </w:r>
      <w:r>
        <w:rPr>
          <w:rFonts w:hint="eastAsia" w:ascii="宋体" w:hAnsi="宋体" w:eastAsia="宋体" w:cs="宋体"/>
          <w:sz w:val="28"/>
          <w:szCs w:val="28"/>
        </w:rPr>
        <w:t>加大企业节能减排技改力度，完善生态补偿机制，鼓励企业对重点产业进行绿色化改造。</w:t>
      </w:r>
      <w:r>
        <w:rPr>
          <w:rFonts w:hint="eastAsia" w:ascii="宋体" w:hAnsi="宋体" w:eastAsia="宋体" w:cs="宋体"/>
          <w:bCs/>
          <w:sz w:val="28"/>
          <w:szCs w:val="28"/>
        </w:rPr>
        <w:t>建设绿色企业、绿色园区、绿色产业链，以遵义建设“两山论”实践样板城市为引领，加快桃花江螺江九曲康养小镇建设，建立全区域性环境保护联防联治长效机制，充分考虑环境承载能力，主动承接产业转移，围绕电子信息、新能源、新材料、现代农业与绿色食品工业等重点领域，探索共建一批主导产业明确、差异化发展的产业功能区，强化优势互补和产业链协作。</w:t>
      </w:r>
    </w:p>
    <w:p w14:paraId="669D5198">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严格“三线一单”管控，加快构建绿色工业体系。扎实推进节能降耗，加快工业园区、能耗行业节能减排技术改造，推广应用余热余压回收、水循环利用、有毒有害原材料替代、废渣资源化等绿色工艺技术设备，实现清洁生产。大力发展绿色产业，开发绿色产品，实施绿色标准、绿色管理和绿色生产，提升产品节能环保水平。以煤电锰循环经济产业园为示范，围绕“四大产业”，大力引进上下游企业，着力发展循环经济。支持风华实业等重点企业发展节能环保装备制造、节能环保产品研发生产。推进资源高效循环利用，探索开展循环经济示范试点，重点推动制造业固体废物利用技术研发和产业化应用，鼓励引导相关资源和产业向产业园区集聚，完善制造业产业链条，构建循环经济产业集群。到2025年，引进资源综合利用企业3户，工业固体废物综合利用率提高到98 %以上。</w:t>
      </w:r>
    </w:p>
    <w:p w14:paraId="670FCBC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——探索发展绿色金融，建设生态银行，支持绿色技术引进和创新，推进清洁生产，发展环保产业，推进重点行业和重点产业绿色化改造。完善市场化、多元化生态补偿。主动参与“绿色丝绸之路”建设。</w:t>
      </w:r>
    </w:p>
    <w:p w14:paraId="437FCF8F">
      <w:pPr>
        <w:pStyle w:val="2"/>
        <w:keepNext w:val="0"/>
        <w:keepLines w:val="0"/>
        <w:pageBreakBefore w:val="0"/>
        <w:widowControl w:val="0"/>
        <w:kinsoku/>
        <w:wordWrap/>
        <w:overflowPunct/>
        <w:topLinePunct w:val="0"/>
        <w:autoSpaceDE/>
        <w:autoSpaceDN/>
        <w:bidi w:val="0"/>
        <w:spacing w:after="0" w:line="520" w:lineRule="exact"/>
        <w:ind w:left="0" w:leftChars="0"/>
        <w:textAlignment w:val="auto"/>
        <w:rPr>
          <w:rFonts w:hint="eastAsia" w:ascii="宋体" w:hAnsi="宋体" w:eastAsia="宋体" w:cs="宋体"/>
          <w:sz w:val="28"/>
          <w:szCs w:val="28"/>
        </w:rPr>
      </w:pPr>
    </w:p>
    <w:p w14:paraId="7D219B52">
      <w:pPr>
        <w:keepNext w:val="0"/>
        <w:keepLines w:val="0"/>
        <w:pageBreakBefore w:val="0"/>
        <w:widowControl w:val="0"/>
        <w:numPr>
          <w:ilvl w:val="0"/>
          <w:numId w:val="10"/>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55" w:name="_Toc30769"/>
      <w:r>
        <w:rPr>
          <w:rFonts w:hint="eastAsia" w:ascii="宋体" w:hAnsi="宋体" w:eastAsia="宋体" w:cs="宋体"/>
          <w:b/>
          <w:bCs/>
          <w:sz w:val="28"/>
          <w:szCs w:val="28"/>
        </w:rPr>
        <w:t>广泛开展绿色人文建设</w:t>
      </w:r>
      <w:bookmarkEnd w:id="55"/>
    </w:p>
    <w:p w14:paraId="0107A038">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全面落实生态文明制度，强化生态环保规范性文件的制定工作。</w:t>
      </w:r>
      <w:r>
        <w:rPr>
          <w:rFonts w:hint="eastAsia" w:ascii="宋体" w:hAnsi="宋体" w:eastAsia="宋体" w:cs="宋体"/>
          <w:sz w:val="28"/>
          <w:szCs w:val="28"/>
        </w:rPr>
        <w:t>实行生态文明建设行政首长负责制和目标责任制，大力实施绿色 GDP考核体系，推进决策机制生态化转型。按照“禁就要养、限就要补”的原则，加快制定辖区内重点生态功能区生态补偿机制和转移支付办法。将生态功能保护区保护经费纳入财政预算，确保县域重要生态功能区保护、环境监测、生态观察与科研的资金需要。</w:t>
      </w:r>
      <w:r>
        <w:rPr>
          <w:rFonts w:hint="eastAsia" w:ascii="宋体" w:hAnsi="宋体" w:eastAsia="宋体" w:cs="宋体"/>
          <w:bCs/>
          <w:sz w:val="28"/>
          <w:szCs w:val="28"/>
        </w:rPr>
        <w:t>持续发展低碳经济、低碳技术，引导经济发展、市民生活、政府管理以低碳为标准。倡导绿色生活，建立绿色消费机制，逐步限制一次性消费用品。推进绿色发展理念进机关、进学校、进医院、进社区、进农村、进企业、进军营，</w:t>
      </w:r>
      <w:r>
        <w:rPr>
          <w:rFonts w:hint="eastAsia" w:ascii="宋体" w:hAnsi="宋体" w:eastAsia="宋体" w:cs="宋体"/>
          <w:sz w:val="28"/>
          <w:szCs w:val="28"/>
        </w:rPr>
        <w:t>到2025年，实现中小学生态环保教育实践开课比例和党政干部参加生态文明培训比例均达100%以上。加速新能源汽车推广应用，</w:t>
      </w:r>
      <w:r>
        <w:rPr>
          <w:rFonts w:hint="eastAsia" w:ascii="宋体" w:hAnsi="宋体" w:eastAsia="宋体" w:cs="宋体"/>
          <w:bCs/>
          <w:sz w:val="28"/>
          <w:szCs w:val="28"/>
        </w:rPr>
        <w:t>加快节能型机关、节约型社会建设，打造“生态绥阳·美丽家园”绿色品牌，</w:t>
      </w:r>
      <w:r>
        <w:rPr>
          <w:rFonts w:hint="eastAsia" w:ascii="宋体" w:hAnsi="宋体" w:eastAsia="宋体" w:cs="宋体"/>
          <w:sz w:val="28"/>
          <w:szCs w:val="28"/>
        </w:rPr>
        <w:t>以绿色GDP为引领的“两山论”样板区</w:t>
      </w:r>
      <w:r>
        <w:rPr>
          <w:rFonts w:hint="eastAsia" w:ascii="宋体" w:hAnsi="宋体" w:eastAsia="宋体" w:cs="宋体"/>
          <w:bCs/>
          <w:sz w:val="28"/>
          <w:szCs w:val="28"/>
        </w:rPr>
        <w:t>。</w:t>
      </w:r>
    </w:p>
    <w:p w14:paraId="140A2FFF">
      <w:pPr>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r>
        <w:rPr>
          <w:rFonts w:hint="eastAsia" w:ascii="宋体" w:hAnsi="宋体" w:eastAsia="宋体" w:cs="宋体"/>
          <w:sz w:val="28"/>
          <w:szCs w:val="28"/>
        </w:rPr>
        <w:br w:type="page"/>
      </w:r>
    </w:p>
    <w:p w14:paraId="6719F3C1">
      <w:pPr>
        <w:keepNext w:val="0"/>
        <w:keepLines w:val="0"/>
        <w:pageBreakBefore w:val="0"/>
        <w:widowControl w:val="0"/>
        <w:kinsoku/>
        <w:wordWrap/>
        <w:overflowPunct/>
        <w:topLinePunct w:val="0"/>
        <w:autoSpaceDE/>
        <w:autoSpaceDN/>
        <w:bidi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专栏12 生态文明建设项目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178691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267258DA">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两江河道生态整治项目、洋川河绥阳东山至民丰永兴桥段防洪治理工程、宽阔九龙河道治理工程、洋川街道桑木村关坎脚至兴隆村兴隆桥河道防洪环保治理工程、洛安江流域生态修复工程、芙蓉江流域生态修复工程、宽阔乡村振兴面源污染治理项目、宽阔镇大岩脚煤矿矿山环境综合治理暨农业园区建设项目、宽阔采煤矿区生态恢复综合治理、团山水库饮用水源保护项目、万里水库自然保护区工程建设项目、双河溶洞自然保护区工程建设项目、石盘垭自然保护区工程建设项目、杉木箐自然保护区工程建设项目、火秋坝自然保护区工程建设项目、大河自然保护区工程建设项目、后水河自然保护区工程建设项目、林业有害生物防控项目、森林防火项目、绥阳国家储备林建设项目、洋川河两岸带状公园建设项目、乡村绿化项目、宽阔乡村污水处理工程、宽阔乡村振兴农村生活垃圾收运系统、农村生活污水治理建设项目、旺草镇乡村污水处理项目。</w:t>
            </w:r>
          </w:p>
        </w:tc>
      </w:tr>
    </w:tbl>
    <w:p w14:paraId="4E7B4DA3">
      <w:pPr>
        <w:spacing w:line="520" w:lineRule="exact"/>
        <w:rPr>
          <w:rFonts w:hint="eastAsia" w:ascii="宋体" w:hAnsi="宋体" w:eastAsia="宋体" w:cs="宋体"/>
          <w:b/>
          <w:sz w:val="36"/>
          <w:szCs w:val="36"/>
        </w:rPr>
        <w:sectPr>
          <w:headerReference r:id="rId18" w:type="default"/>
          <w:pgSz w:w="8392" w:h="11850"/>
          <w:pgMar w:top="1247" w:right="879" w:bottom="1020" w:left="879" w:header="851" w:footer="992" w:gutter="0"/>
          <w:pgNumType w:fmt="decimal"/>
          <w:cols w:space="425" w:num="1"/>
          <w:rtlGutter w:val="0"/>
          <w:docGrid w:type="lines" w:linePitch="456" w:charSpace="0"/>
        </w:sectPr>
      </w:pPr>
      <w:r>
        <w:rPr>
          <w:rFonts w:hint="eastAsia" w:ascii="宋体" w:hAnsi="宋体" w:eastAsia="宋体" w:cs="宋体"/>
          <w:b/>
          <w:sz w:val="36"/>
          <w:szCs w:val="36"/>
        </w:rPr>
        <w:br w:type="page"/>
      </w:r>
    </w:p>
    <w:p w14:paraId="2B0FFBF4">
      <w:pPr>
        <w:pStyle w:val="32"/>
        <w:numPr>
          <w:ilvl w:val="0"/>
          <w:numId w:val="9"/>
        </w:numPr>
        <w:adjustRightInd w:val="0"/>
        <w:snapToGrid w:val="0"/>
        <w:spacing w:line="520" w:lineRule="exact"/>
        <w:ind w:firstLine="0" w:firstLineChars="0"/>
        <w:jc w:val="center"/>
        <w:outlineLvl w:val="0"/>
        <w:rPr>
          <w:rFonts w:hint="eastAsia" w:ascii="宋体" w:hAnsi="宋体" w:eastAsia="宋体" w:cs="宋体"/>
          <w:b/>
          <w:bCs w:val="0"/>
          <w:sz w:val="36"/>
          <w:szCs w:val="36"/>
        </w:rPr>
      </w:pPr>
      <w:bookmarkStart w:id="56" w:name="_Toc33"/>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坚持实施开放带动战略，主动融入成渝地区双城经济圈</w:t>
      </w:r>
      <w:bookmarkEnd w:id="56"/>
    </w:p>
    <w:p w14:paraId="47656817">
      <w:pPr>
        <w:pStyle w:val="32"/>
        <w:adjustRightInd w:val="0"/>
        <w:snapToGrid w:val="0"/>
        <w:spacing w:line="520" w:lineRule="exact"/>
        <w:ind w:firstLine="0" w:firstLineChars="0"/>
        <w:rPr>
          <w:rFonts w:hint="eastAsia" w:ascii="宋体" w:hAnsi="宋体" w:eastAsia="宋体" w:cs="宋体"/>
          <w:b/>
          <w:sz w:val="36"/>
          <w:szCs w:val="36"/>
        </w:rPr>
      </w:pPr>
    </w:p>
    <w:p w14:paraId="006EEB5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抢抓国家实施新时代西部大开发和贵州建设国家内陆开放型经济试验区机遇，以主动全面融入成渝地区双城经济圈为主攻方向，加快融入国家重大区域战略，在更大范围、更宽领域、更深层次扩大开放，助力遵义打造西部内陆开放新高地。</w:t>
      </w:r>
    </w:p>
    <w:p w14:paraId="437E7B93">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64A7D8BB">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57" w:name="_Toc16037"/>
      <w:r>
        <w:rPr>
          <w:rFonts w:hint="eastAsia" w:ascii="宋体" w:hAnsi="宋体" w:eastAsia="宋体" w:cs="宋体"/>
          <w:b/>
          <w:bCs/>
          <w:sz w:val="28"/>
          <w:szCs w:val="28"/>
        </w:rPr>
        <w:t>第一节 构建全面开放新格局</w:t>
      </w:r>
      <w:bookmarkEnd w:id="57"/>
    </w:p>
    <w:p w14:paraId="3561E56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主动全面融入成渝地区双城经济圈,突出平台引领，强化要素驱动，聚焦产业链、供应链、创新链、生活链，加强战略、规划、政策、功能链接，推动人流、物流、资金流、信息流互联互通，加强绿色食品工业、文化旅游、装备制造、军民融合等产业链合作，参与建设黔川渝合作先行示范区建设，争取承接东部产业转移。充分发挥融入成渝地区双城经济圈、“一带一路”、长江经济带等区位优势和毗临空港优势，积极融入“一带一路”和西部陆海新通道建设。</w:t>
      </w:r>
    </w:p>
    <w:p w14:paraId="42CA64A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快融入重点区域战略。抓住国家实施“一带一路”、长江经济带、珠江-西江经济带的有利契机，全方位融入国家、省重点区域战略。加强与重庆市和四川省重点城市的合作与交流力度。借助“黔川渝金三角旅游联盟”合力打造“黔川渝毗邻文化旅游金三角”品牌的机遇，推动与重庆市和四川省各地在大健康产业和休闲旅游等方面的合作。以撤县设区为契机，突破行政区划障碍，加快在通往新舟机场的快速通道沿线建设临空经济物流基地。</w:t>
      </w:r>
    </w:p>
    <w:p w14:paraId="1E0142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强跨区域协作发展。积极推进与成渝地区、沿海发达地区的产业合作，重点在能源、现代农业、大健康医药、大数据等领域谋划合作项目，扩大特色食品的区域影响力。积极探索产学研合作新机制，引进科研成果。支持企业开展产品展销、贸易洽谈活动，设立销售中心，促进产品营销。加强教育合作，通过联合办学、委托培养等形式，实现优质教育资源共享。扩大区域间在市场建设、生态环境保护、旅游开发、现代物流业、生态农业等重点领域加深合作，促进优势互补，实现共同发展。</w:t>
      </w:r>
    </w:p>
    <w:p w14:paraId="64F36A70">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eastAsia" w:ascii="宋体" w:hAnsi="宋体" w:eastAsia="宋体" w:cs="宋体"/>
          <w:sz w:val="28"/>
          <w:szCs w:val="28"/>
        </w:rPr>
      </w:pPr>
    </w:p>
    <w:p w14:paraId="57D6B1F4">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58" w:name="_Toc460"/>
      <w:r>
        <w:rPr>
          <w:rFonts w:hint="eastAsia" w:ascii="宋体" w:hAnsi="宋体" w:eastAsia="宋体" w:cs="宋体"/>
          <w:b/>
          <w:bCs/>
          <w:sz w:val="28"/>
          <w:szCs w:val="28"/>
        </w:rPr>
        <w:t>加快发展开放型经济</w:t>
      </w:r>
      <w:bookmarkEnd w:id="58"/>
    </w:p>
    <w:p w14:paraId="7D3BECE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深化开发区管理体制和运营机制等关键环节改革，推动优势产业、资源要素向开发区集聚，发展高水平开放型经济。</w:t>
      </w:r>
    </w:p>
    <w:p w14:paraId="7D515E0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断提高利用外资水平。大力改善投资环境，创新利用外资方式，优化利用外资结构，进一步扩大利用外资规模，提高外资利用水平。承接好外商投资审批权限下放，进一步提升外资审批效率和水平，减轻企业负担。拓宽外商投资领域，多元化吸收外资，探索多种利用外资模式发展。鼓励绥阳优势领域和有条件的企业参与国际经济技术合作与竞争。</w:t>
      </w:r>
    </w:p>
    <w:p w14:paraId="1328A14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积极“引进来”“走出去”。深化与成渝地区双城经济圈的交流合作，完善开放性园区建设，引进一批技术含量高、带动能力强的企业，集中力量打造主业突出、开放示范效果好的特色园区。鼓励外来投资更多投向资源开发、高新技术、节能环保、文化旅游、商贸物流、现代农业以及城镇基础设施等领域，更好地发挥外资在促进技术创新、产业升级和提高产业附加值等方面的积极作用。积极引导更多的生产企业进行对外贸易，引导更多的招商引资企业和本地企业开拓国际市场。依托遵义综合保税区，大力发展“电商+”等新型贸易业态。</w:t>
      </w:r>
      <w:r>
        <w:rPr>
          <w:rFonts w:hint="eastAsia" w:ascii="宋体" w:hAnsi="宋体" w:eastAsia="宋体" w:cs="宋体"/>
          <w:kern w:val="0"/>
          <w:sz w:val="28"/>
          <w:szCs w:val="28"/>
        </w:rPr>
        <w:t>围绕主城区融合发展，与贵阳、重庆、成都等区域合作更加深入，进一步拓展发展空间，做大县域经济增长极。</w:t>
      </w:r>
      <w:r>
        <w:rPr>
          <w:rFonts w:hint="eastAsia" w:ascii="宋体" w:hAnsi="宋体" w:eastAsia="宋体" w:cs="宋体"/>
          <w:sz w:val="28"/>
          <w:szCs w:val="28"/>
        </w:rPr>
        <w:t>推动优势产能、重点企业、特色产品“走出去”，开展境外投资、工程承包、劳务输出。支持企业抱团组建产业联盟，参与经营投资。</w:t>
      </w:r>
    </w:p>
    <w:p w14:paraId="01768EF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创新招商引资引智模式。坚持把招商引资作为开放的重要支撑，坚持“招商三问”，编制主导产业链图谱，建立重点企业招引库，开展定向精准对接招商。转变招商引资方式，全方位开展招商引资工作，推行产业链招商、以商招商、商会招商、园区招商、大项目带动招商，鼓励在外绥商绥企回绥投资兴业。运用现代网络技术招商，广泛组织招商推介活动，降低招商成本，努力引入更多资本、技术参与建设，培育发展新兴产业，提高经济增长质量和效益。重点围绕技术含量、资源消耗、环境影响、新增就业、税收贡献等指标，引入产业带动性强、成长性好的项目。建立符合绥阳生态发展、可持续发展的招商引资考核评价体系，增强招商的针对性和实效性，提升招商引资质量。到2025年，力争引进上市企业3家、行业领军企业3家。</w:t>
      </w:r>
    </w:p>
    <w:p w14:paraId="2106DA78">
      <w:pPr>
        <w:pStyle w:val="5"/>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4C302302">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sz w:val="28"/>
          <w:szCs w:val="28"/>
        </w:rPr>
      </w:pPr>
      <w:bookmarkStart w:id="59" w:name="_Toc30513"/>
      <w:r>
        <w:rPr>
          <w:rFonts w:hint="eastAsia" w:ascii="宋体" w:hAnsi="宋体" w:eastAsia="宋体" w:cs="宋体"/>
          <w:b/>
          <w:bCs/>
          <w:sz w:val="28"/>
          <w:szCs w:val="28"/>
        </w:rPr>
        <w:t>深化重点领域改革</w:t>
      </w:r>
      <w:bookmarkEnd w:id="59"/>
    </w:p>
    <w:p w14:paraId="0B925B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入落实中央和省委、市委、县委全面深化改革各项决策部署。推进自然资源产权制度改革，完善自然资源资产有偿使用和收益管理制度。深化矿产资源管理制度改革。深化政务公开，推行简政放权、放管结合、优化服务改革。深化公共资源交易改革，鼓励支持民间资本进入基础产业、社会事业等领域。畅通社会参与政策制定渠道。深化行业协会、商会和中介机构改革。深入推进电力体制改革。深化国资国企改革，实现国企实体化、市场化转型发展。深化财税体制改革，加快建立现代财政制度。推进水电气、药品等价格改革，落实政府定价制度和价格调控机制。深化教育卫生、综合行政执法、供销社等领域改革。推进统计现代化改革。深化农村信用社改革，加强村镇银行管理。加快推进农村信用工程建设。持续开展营商环境大提升行动，优化再造审批流程，打造“绥时办”政务服务品牌，优化民营经济发展环境，健全领导干部联系服务企业制度，构建亲清政商关系，营造一流营商环境。</w:t>
      </w:r>
    </w:p>
    <w:p w14:paraId="477090F6">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30"/>
          <w:szCs w:val="30"/>
        </w:rPr>
        <w:sectPr>
          <w:headerReference r:id="rId19" w:type="default"/>
          <w:pgSz w:w="8392" w:h="11850"/>
          <w:pgMar w:top="1247" w:right="879" w:bottom="1020" w:left="879" w:header="851" w:footer="992" w:gutter="0"/>
          <w:pgNumType w:fmt="decimal"/>
          <w:cols w:space="425" w:num="1"/>
          <w:rtlGutter w:val="0"/>
          <w:docGrid w:type="lines" w:linePitch="456" w:charSpace="0"/>
        </w:sectPr>
      </w:pPr>
      <w:r>
        <w:rPr>
          <w:rFonts w:hint="eastAsia" w:ascii="宋体" w:hAnsi="宋体" w:eastAsia="宋体" w:cs="宋体"/>
          <w:sz w:val="30"/>
          <w:szCs w:val="30"/>
        </w:rPr>
        <w:br w:type="page"/>
      </w:r>
    </w:p>
    <w:p w14:paraId="1869E4B7">
      <w:pPr>
        <w:pStyle w:val="32"/>
        <w:numPr>
          <w:ilvl w:val="0"/>
          <w:numId w:val="9"/>
        </w:numPr>
        <w:adjustRightInd w:val="0"/>
        <w:snapToGrid w:val="0"/>
        <w:spacing w:line="520" w:lineRule="exact"/>
        <w:ind w:firstLine="720"/>
        <w:jc w:val="center"/>
        <w:outlineLvl w:val="0"/>
        <w:rPr>
          <w:rFonts w:hint="eastAsia" w:ascii="宋体" w:hAnsi="宋体" w:eastAsia="宋体" w:cs="宋体"/>
          <w:b/>
          <w:bCs w:val="0"/>
          <w:sz w:val="36"/>
          <w:szCs w:val="36"/>
        </w:rPr>
      </w:pPr>
      <w:bookmarkStart w:id="60" w:name="_Toc27044"/>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强力推进基础设施建设，改善经济社会发展条件</w:t>
      </w:r>
      <w:bookmarkEnd w:id="60"/>
    </w:p>
    <w:p w14:paraId="3C86DF2B">
      <w:pPr>
        <w:pStyle w:val="32"/>
        <w:adjustRightInd w:val="0"/>
        <w:snapToGrid w:val="0"/>
        <w:spacing w:line="520" w:lineRule="exact"/>
        <w:ind w:firstLine="0" w:firstLineChars="0"/>
        <w:rPr>
          <w:rFonts w:hint="eastAsia" w:ascii="宋体" w:hAnsi="宋体" w:eastAsia="宋体" w:cs="宋体"/>
          <w:b/>
          <w:sz w:val="28"/>
          <w:szCs w:val="28"/>
        </w:rPr>
      </w:pPr>
    </w:p>
    <w:p w14:paraId="25C6A84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强化基础设施建设，保证“十四五”期间投资力度不减。纵深推进“六网会战”，紧扣“两新一重”扩大投资，加快建设完善基础设施，提升全县基础设施建设整体水平。</w:t>
      </w:r>
    </w:p>
    <w:p w14:paraId="5EDD4056">
      <w:pPr>
        <w:pStyle w:val="5"/>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宋体"/>
          <w:b/>
          <w:bCs/>
          <w:sz w:val="28"/>
          <w:szCs w:val="28"/>
        </w:rPr>
      </w:pPr>
    </w:p>
    <w:p w14:paraId="3940CB4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center"/>
        <w:textAlignment w:val="auto"/>
        <w:outlineLvl w:val="1"/>
        <w:rPr>
          <w:rFonts w:hint="eastAsia" w:ascii="宋体" w:hAnsi="宋体" w:eastAsia="宋体" w:cs="宋体"/>
          <w:b/>
          <w:bCs/>
          <w:sz w:val="28"/>
          <w:szCs w:val="28"/>
        </w:rPr>
      </w:pPr>
      <w:bookmarkStart w:id="61" w:name="_Toc11479"/>
      <w:r>
        <w:rPr>
          <w:rFonts w:hint="eastAsia" w:ascii="宋体" w:hAnsi="宋体" w:eastAsia="宋体" w:cs="宋体"/>
          <w:b/>
          <w:bCs/>
          <w:sz w:val="28"/>
          <w:szCs w:val="28"/>
        </w:rPr>
        <w:t>第一节 完善交通基础设施网络，</w:t>
      </w:r>
      <w:bookmarkEnd w:id="61"/>
      <w:r>
        <w:rPr>
          <w:rFonts w:hint="eastAsia" w:ascii="宋体" w:hAnsi="宋体" w:eastAsia="宋体" w:cs="宋体"/>
          <w:b/>
          <w:bCs/>
          <w:sz w:val="28"/>
          <w:szCs w:val="28"/>
        </w:rPr>
        <w:t xml:space="preserve">                 </w:t>
      </w:r>
    </w:p>
    <w:p w14:paraId="6BABB2F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center"/>
        <w:textAlignment w:val="auto"/>
        <w:outlineLvl w:val="1"/>
        <w:rPr>
          <w:rFonts w:hint="eastAsia" w:ascii="宋体" w:hAnsi="宋体" w:eastAsia="宋体" w:cs="宋体"/>
          <w:b/>
          <w:bCs/>
          <w:sz w:val="28"/>
          <w:szCs w:val="28"/>
        </w:rPr>
      </w:pPr>
      <w:bookmarkStart w:id="62" w:name="_Toc7246"/>
      <w:bookmarkStart w:id="63" w:name="_Toc61015292"/>
      <w:r>
        <w:rPr>
          <w:rFonts w:hint="eastAsia" w:ascii="宋体" w:hAnsi="宋体" w:eastAsia="宋体" w:cs="宋体"/>
          <w:b/>
          <w:bCs/>
          <w:sz w:val="28"/>
          <w:szCs w:val="28"/>
        </w:rPr>
        <w:t>构建现代综合交通体系</w:t>
      </w:r>
      <w:bookmarkEnd w:id="62"/>
      <w:bookmarkEnd w:id="63"/>
    </w:p>
    <w:p w14:paraId="2733444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航空运输、高速公路、轻轨轨道交通运输和公路运输的无缝衔接及换乘转运，建设对外成链、对内成网、内外衔接的现代综合交通运输体系。以国省道为支撑，修建补充完善绥阳到遵义市区城际快速公路和轻轨轨道交通网络；对接联系将新渝贵高铁东线方案纳入国家和省相关规划；规划并全面启动风华至泗渡、黄鱼桥至新蒲、蒲场至新蒲等市政干道建设，加快绥阳-正安旅游大通道建设；推动郑场镇建立全市交通枢纽。“十四五”期间，新增高速公路60公里，改造国省干线170公里，升级县乡道550公里。</w:t>
      </w:r>
    </w:p>
    <w:p w14:paraId="610323A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谋划实施一批重大交通基础设施项目。按国家二级客运枢纽站标准完成绥阳县综合客运枢纽建设。完善以国省道和城市快速通道为干线的公路交通网络，打通连绥阳接遵义及周边县城的快速通道，建设一批连接主要产业园区、旅游景区、交通枢纽的快速联络线，完成道路骨架网络建设。按照“补短板、提品质、促融合”的发展思路，到 2025 年，初步形成“便捷顺畅、优质高效、安全可靠、智慧绿色”的现代综合交通运输体系，为加快融入遵义同城发展、深入实施“三新一全”战略提供有力支撑。“十四五”期间将实施G243 温泉至绥阳段公路路面改造工程 60 公里。动工建设S101太白至黄莲公路、S303 土凼至坪乐公路、 S304旺草至黄鱼江公路、S304石羊至旺草公路、S206岩门沟至大坪公路，总里程 96.7 公里。实施乡村振兴补短板农村公路项目 673 公里，完成农村公路路网连通工程200公里、产业路400公里、集疏运公路23.4公里，为乡村振兴做好交通服务。推进农村公路与国道、省道的干支相连，进一步优化道路交通网络结构，实施县乡道路面改善工程131公里、村村通双车道410公里。公路路网对重要节点的覆盖水平和服务能力进一步提升，乡镇通二级及以上公路比例达 100%，重要港口集疏运公路二级及以上比重达 100%；“交邮融合”发展全覆盖，乡镇货运物流服务网点覆盖率达 100%，建制村快递服务通达率达100%。积极推进新渝贵高铁、遵义至绥阳一级公路、绥阳通用机场建设，争取昭通至遵义至黔江铁路过境绥阳。力争将郑场镇打造成全市第一个集铁路、公路、飞机的综合交通运输枢纽，一体化衔接水平进一步提高。</w:t>
      </w:r>
    </w:p>
    <w:p w14:paraId="2A0B9BA9">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r>
        <w:rPr>
          <w:rFonts w:hint="eastAsia" w:ascii="宋体" w:hAnsi="宋体" w:eastAsia="宋体" w:cs="宋体"/>
          <w:sz w:val="28"/>
          <w:szCs w:val="28"/>
        </w:rPr>
        <w:br w:type="page"/>
      </w:r>
    </w:p>
    <w:p w14:paraId="2DE5A29C">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专栏13 交通建设工程</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4A092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408928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通用机场项目、重庆至贵阳高铁项目、昭通至黔江铁路项目、煤电锰基地货运专线铁路项目、S101汇川区高坪四面山至蒲场改扩建工程、S101省道至双门峡景区旅游公路改扩建项目、S206汇川区岩门沟至大坪段改扩建工程、S303正安县土坪镇申家湾至温泉镇土凼段改扩建工程、S304旺草至小关改扩建工程、S304旺草镇至茅垭镇黄鱼江改扩建工程、S304旺草至石羊公路工程、太白镇太黄公路建设工程、小关乡沟通遵义二环公路建设项目、坪乐镇高速匝道至西河公路扩建工程、石菜园至擦耳岩旅游公路建设项目、遵义市清溪峡景区—野茶环线旅游公路建设项目、遵义市双河谷景区—清溪峡景区环线旅游公路建设项目、综合客运枢纽建设项目、城区货运站建设项目、X315小关乡辅乐至湄潭西河镇改扩建工程、X319青杠塘至乐俭改扩建工程、X3S1高坊子至桅杆坪改扩建工程、X3S4黄杨至太白改扩建工程、X3S5募阳至庙角改扩建工程、X3S6郑场至上坪改扩建工程、X3S8郑场至太平改扩建工程、X3S9兴隆场至油柿树改扩建工程、X3SA石盘垭至黄鱼桥改扩建工程、X3SD幺店子至何家坝改扩建工程、X3SJ小河口至角口改扩建工程、X3SK旺草至石林改扩建工程、X3SN宽阔至黄杨改扩建工程、雷土凉桥至马头村县乡道改造工程、联网公路建设项目、30户以下组组通硬化项目、村道改造工程、太白镇高坪村通村主干道改扩建工程、脱贫攻坚产业基础设施建设项目、宽阔乡村旅游公路、县乡道路面改善、宽阔天台宏盛煤矿至大岩脚运煤大道连接处工程、坪乐镇望香台至陆股坪公路建设项目、农村公路危桥改造及安防工程、乡镇客货运站、兰海国家高速公路重庆至遵义段扩容工程、桐梓至新蒲高速公路工程。</w:t>
            </w:r>
          </w:p>
        </w:tc>
      </w:tr>
    </w:tbl>
    <w:p w14:paraId="0C0D04DA">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Cs/>
          <w:sz w:val="28"/>
          <w:szCs w:val="28"/>
        </w:rPr>
      </w:pPr>
    </w:p>
    <w:p w14:paraId="1B306B58">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1"/>
        <w:rPr>
          <w:rFonts w:hint="eastAsia" w:ascii="宋体" w:hAnsi="宋体" w:eastAsia="宋体" w:cs="宋体"/>
          <w:b/>
          <w:bCs w:val="0"/>
          <w:sz w:val="28"/>
          <w:szCs w:val="28"/>
        </w:rPr>
      </w:pPr>
      <w:bookmarkStart w:id="64" w:name="_Toc18598"/>
      <w:r>
        <w:rPr>
          <w:rFonts w:hint="eastAsia" w:ascii="宋体" w:hAnsi="宋体" w:eastAsia="宋体" w:cs="宋体"/>
          <w:b/>
          <w:bCs w:val="0"/>
          <w:sz w:val="28"/>
          <w:szCs w:val="28"/>
        </w:rPr>
        <w:t>第二节 加强水利基础设施网络建设,                       构筑现代水利保障体系</w:t>
      </w:r>
      <w:bookmarkEnd w:id="64"/>
    </w:p>
    <w:p w14:paraId="2AD495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大力推进城乡一体化建设、区域规模化集中供水工程建设和现代化水网改造。</w:t>
      </w:r>
      <w:r>
        <w:rPr>
          <w:rFonts w:hint="eastAsia" w:ascii="宋体" w:hAnsi="宋体" w:eastAsia="宋体" w:cs="宋体"/>
          <w:sz w:val="28"/>
          <w:szCs w:val="28"/>
        </w:rPr>
        <w:t>实施水利综合治理工程，切实推进水源工程、引提灌工程建设和地下水开发利用，因地制宜建设城乡备用水源，强化县域水库开发治理，基本解决工程性缺水难题。一是加强水资源开发和利用，建成飞水水库，规划建设文星水库、青杠塘九道门水库、火秋坝水库、擦耳岩水库、小溪源水库、神仙洞水库、杨堡沟水库、黄秧台水库、罗家沟水库、庙林沟水库等水库。充分发挥水库对资源调蓄能力强的优势，实施长距离管道输水工程，提高区域水资源综合调配能力。实施农村饮水巩固提升工程，使农村集中供水率达到100%，农村自来水普及率达到100%，水质达标率100%，确保农村饮水安全。二是继续实施病险水库除险加固及山塘扩容增效建设。大力实施水土流失综合治理。继续推进小型农田水利建设和省级山区现代水利示范园区建设。建立城镇水文监测系统，积极开展中小河流、重点山洪沟、农村河道综合治理，使有防洪任务的城镇基本达到相应的设防标准，人口密集的镇（街道）村与集中连片的农田防洪能力得到提高。新建一批水系连通和抗旱引调提水工程，提高抗旱减灾能力。加强绥阳境内两江两河河道治理。三是加强水源地综合治理、保护和有效利用。在重要水源涵养区建设生态功能保护区，加强水源涵养区的保护与管理；进一步提升全县污水处理能力，推进节能减排，改善环境质量，促进人与自然和谐发展，重点建设洛安江和芙蓉江流域水环境综合治理工程等项目。实行最严格水资源管理制度，建立和落实用水总量控制、用水效率控制和限制纳污控制“三条红线”控制制度。全面推进水利投融资体制、水利工程运行管理体制、农村水利、水价形成机制、水权水市场等水利体制改革。完善水资源管理与节约保护、水生态保护、水利工程建设与管理等方面的机制和制度；健全水行政执法体系，全面提升水行政执法能力。四是水利人才工作。加大水利人才建设经费投入，大力引进、培养水利人才，打造高素质水利人才队伍。五</w:t>
      </w:r>
      <w:r>
        <w:rPr>
          <w:rFonts w:hint="eastAsia" w:ascii="宋体" w:hAnsi="宋体" w:eastAsia="宋体" w:cs="宋体"/>
          <w:bCs/>
          <w:sz w:val="28"/>
          <w:szCs w:val="28"/>
        </w:rPr>
        <w:t>是加强水利信息化建设，大力发展智慧水利。</w:t>
      </w:r>
      <w:r>
        <w:rPr>
          <w:rFonts w:hint="eastAsia" w:ascii="宋体" w:hAnsi="宋体" w:eastAsia="宋体" w:cs="宋体"/>
          <w:sz w:val="28"/>
          <w:szCs w:val="28"/>
        </w:rPr>
        <w:t>加快完善防汛抗旱减灾体系，实现防汛抗旱预警与应急响应、决策与调度支持等信息化管理，</w:t>
      </w:r>
      <w:r>
        <w:rPr>
          <w:rFonts w:hint="eastAsia" w:ascii="宋体" w:hAnsi="宋体" w:eastAsia="宋体" w:cs="宋体"/>
          <w:bCs/>
          <w:sz w:val="28"/>
          <w:szCs w:val="28"/>
        </w:rPr>
        <w:t>新建一批中小河流、山洪治理项目。</w:t>
      </w:r>
    </w:p>
    <w:p w14:paraId="7CCD8991">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eastAsia" w:ascii="宋体" w:hAnsi="宋体" w:eastAsia="宋体" w:cs="宋体"/>
          <w:sz w:val="28"/>
          <w:szCs w:val="28"/>
        </w:rPr>
      </w:pPr>
    </w:p>
    <w:p w14:paraId="4F8FBF5F">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专栏14 水利建设项目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235BD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4C8B2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飞水水库工程、九道门水库工程、火秋坝水库工程、擦耳岩水库工程、庙林沟水库工程、龙塘子水库工程、交溪沟水库工程、宽阔天台联庄水库引提水工程、文星水库工程、黔北水利枢纽清溪水库工程、旺草镇乡村水利工程及修复项目、旺草镇芙蓉江及支流河道治理项目、枧坝镇芙蓉江综合治理工程、坪乐镇河道治理工程、宽阔杨堡沟水库扩建工程、宽阔九龙河道治理工程、小关乡辅乐片区人饮工程、脱贫攻坚城乡供水巩固提升工程项目、饮用水一体化建设项目。</w:t>
            </w:r>
          </w:p>
        </w:tc>
      </w:tr>
    </w:tbl>
    <w:p w14:paraId="7ACAD568">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宋体" w:hAnsi="宋体" w:eastAsia="宋体" w:cs="宋体"/>
          <w:sz w:val="28"/>
          <w:szCs w:val="28"/>
        </w:rPr>
      </w:pPr>
    </w:p>
    <w:p w14:paraId="3362C5AB">
      <w:pPr>
        <w:pStyle w:val="32"/>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Chars="0"/>
        <w:jc w:val="center"/>
        <w:textAlignment w:val="auto"/>
        <w:outlineLvl w:val="1"/>
        <w:rPr>
          <w:rFonts w:hint="eastAsia" w:ascii="宋体" w:hAnsi="宋体" w:eastAsia="宋体" w:cs="宋体"/>
          <w:b/>
          <w:bCs/>
          <w:sz w:val="28"/>
          <w:szCs w:val="28"/>
        </w:rPr>
      </w:pPr>
      <w:bookmarkStart w:id="65" w:name="_Toc8596"/>
      <w:r>
        <w:rPr>
          <w:rFonts w:hint="eastAsia" w:ascii="宋体" w:hAnsi="宋体" w:eastAsia="宋体" w:cs="宋体"/>
          <w:b/>
          <w:bCs/>
          <w:sz w:val="28"/>
          <w:szCs w:val="28"/>
        </w:rPr>
        <w:t>加强能源基础设施建设</w:t>
      </w:r>
      <w:bookmarkEnd w:id="65"/>
    </w:p>
    <w:p w14:paraId="7C2DFA9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全面完成新一轮农网改造升级，实现配电自动化覆盖率达100%；加快城市配电网改造，</w:t>
      </w:r>
      <w:r>
        <w:rPr>
          <w:rFonts w:hint="eastAsia" w:ascii="宋体" w:hAnsi="宋体" w:eastAsia="宋体" w:cs="宋体"/>
          <w:bCs/>
          <w:sz w:val="28"/>
          <w:szCs w:val="28"/>
        </w:rPr>
        <w:t>补齐电力基础设施建设短板；加快推进电动汽车充电基础设施建设和配套电网改造，推动具备条件的加油站充电设施全覆盖。</w:t>
      </w:r>
      <w:r>
        <w:rPr>
          <w:rFonts w:hint="eastAsia" w:ascii="宋体" w:hAnsi="宋体" w:eastAsia="宋体" w:cs="宋体"/>
          <w:sz w:val="28"/>
          <w:szCs w:val="28"/>
        </w:rPr>
        <w:t>加快推进页岩气勘探开发。积极推进天然气进社区、进园区、进院落，实施</w:t>
      </w:r>
      <w:r>
        <w:rPr>
          <w:rFonts w:hint="eastAsia" w:ascii="宋体" w:hAnsi="宋体" w:eastAsia="宋体" w:cs="宋体"/>
          <w:bCs/>
          <w:sz w:val="28"/>
          <w:szCs w:val="28"/>
        </w:rPr>
        <w:t>老旧小区燃气改造工程；</w:t>
      </w:r>
      <w:r>
        <w:rPr>
          <w:rFonts w:hint="eastAsia" w:ascii="宋体" w:hAnsi="宋体" w:eastAsia="宋体" w:cs="宋体"/>
          <w:sz w:val="28"/>
          <w:szCs w:val="28"/>
        </w:rPr>
        <w:t>扩大农村户用太阳能热水器使用范围，加快培育生物能源产业，建设农村大中型沼气工程。充分挖掘煤炭资源，提高煤炭产能。</w:t>
      </w:r>
    </w:p>
    <w:p w14:paraId="36617063">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rPr>
      </w:pPr>
    </w:p>
    <w:p w14:paraId="58EF8281">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专栏15 能源建设项目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65467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27B145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天然气管道项目、风华镇牛心大道右侧加油站建设项目、风华镇牛心大道左侧加油站建设项目、绥阳县供销社青杠塘加油站搬迁建设项目、绥阳县供销社太白加油站搬迁建设项目、绥阳县供销社黄鱼江加油站恢复建设项目、绥阳石浪关110kV输变电工程、国家电投集团贵州金元绥阳产业有限公司动力车间建设项目、宽阔风电场建设项目、生活垃圾焚烧发电项目、宽阔九龙水电开发项目、绥阳县尹家山煤矿建设项目、绥阳县宽阔大岩脚煤矿至G352运煤大道工程、绥阳县宽阔天台宏盛煤矿至大岩脚运煤大道连接处工程、绥阳县枧坝镇尹家山煤矿技改建设项目、绥阳县黄杨镇宏盛煤矿技改建设项目、绥阳县枧坝镇联盟煤矿技改建设项目、绥阳县新能源汽车充电站建设项目。</w:t>
            </w:r>
          </w:p>
        </w:tc>
      </w:tr>
    </w:tbl>
    <w:p w14:paraId="77EA3C52">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Cs w:val="32"/>
        </w:rPr>
      </w:pPr>
    </w:p>
    <w:p w14:paraId="35CFAF73">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0"/>
        <w:rPr>
          <w:rFonts w:hint="eastAsia" w:ascii="宋体" w:hAnsi="宋体" w:eastAsia="宋体" w:cs="宋体"/>
          <w:sz w:val="36"/>
          <w:szCs w:val="36"/>
        </w:rPr>
        <w:sectPr>
          <w:headerReference r:id="rId20" w:type="default"/>
          <w:pgSz w:w="8392" w:h="11850"/>
          <w:pgMar w:top="1247" w:right="879" w:bottom="1020" w:left="879" w:header="851" w:footer="992" w:gutter="0"/>
          <w:pgNumType w:fmt="decimal"/>
          <w:cols w:space="425" w:num="1"/>
          <w:rtlGutter w:val="0"/>
          <w:docGrid w:type="lines" w:linePitch="456" w:charSpace="0"/>
        </w:sectPr>
      </w:pPr>
    </w:p>
    <w:p w14:paraId="1C87DB8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宋体" w:hAnsi="宋体" w:eastAsia="宋体" w:cs="宋体"/>
          <w:b/>
          <w:bCs/>
          <w:sz w:val="36"/>
          <w:szCs w:val="36"/>
        </w:rPr>
      </w:pPr>
      <w:bookmarkStart w:id="66" w:name="_Toc21080"/>
      <w:r>
        <w:rPr>
          <w:rFonts w:hint="eastAsia" w:ascii="宋体" w:hAnsi="宋体" w:eastAsia="宋体" w:cs="宋体"/>
          <w:b/>
          <w:bCs/>
          <w:sz w:val="36"/>
          <w:szCs w:val="36"/>
        </w:rPr>
        <w:t>第十一章  大力发展现代服务业，促进</w:t>
      </w:r>
    </w:p>
    <w:p w14:paraId="3FDE048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宋体" w:hAnsi="宋体" w:eastAsia="宋体" w:cs="宋体"/>
          <w:b/>
          <w:bCs/>
          <w:sz w:val="36"/>
          <w:szCs w:val="36"/>
        </w:rPr>
      </w:pPr>
      <w:r>
        <w:rPr>
          <w:rFonts w:hint="eastAsia" w:ascii="宋体" w:hAnsi="宋体" w:eastAsia="宋体" w:cs="宋体"/>
          <w:b/>
          <w:bCs/>
          <w:sz w:val="36"/>
          <w:szCs w:val="36"/>
        </w:rPr>
        <w:t>消费扩容提质</w:t>
      </w:r>
      <w:bookmarkEnd w:id="66"/>
    </w:p>
    <w:p w14:paraId="48287895">
      <w:pPr>
        <w:spacing w:line="600" w:lineRule="exact"/>
        <w:ind w:firstLine="560" w:firstLineChars="200"/>
        <w:jc w:val="center"/>
        <w:rPr>
          <w:rFonts w:hint="eastAsia" w:ascii="宋体" w:hAnsi="宋体" w:eastAsia="宋体" w:cs="宋体"/>
          <w:szCs w:val="32"/>
        </w:rPr>
      </w:pPr>
    </w:p>
    <w:p w14:paraId="0B4FFABD">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施服务业创新十大工程，落实服务业创新发展政策举措，提升绥阳现代服务业发展质量和规模。加快推动以文化旅游和商贸物流为引领的服务业创新发展，运用现代经营理念和现代信息技术等提升传统服务业。增强消费对经济发展的基础性作用，构建多元融合的消费业态，着力建设黔北消费中心城市。</w:t>
      </w:r>
    </w:p>
    <w:p w14:paraId="03A7D824">
      <w:pPr>
        <w:pStyle w:val="5"/>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4F6164B4">
      <w:pPr>
        <w:keepNext w:val="0"/>
        <w:keepLines w:val="0"/>
        <w:pageBreakBefore w:val="0"/>
        <w:widowControl w:val="0"/>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67" w:name="_Toc19734"/>
      <w:r>
        <w:rPr>
          <w:rFonts w:hint="eastAsia" w:ascii="宋体" w:hAnsi="宋体" w:eastAsia="宋体" w:cs="宋体"/>
          <w:b/>
          <w:bCs/>
          <w:sz w:val="28"/>
          <w:szCs w:val="28"/>
        </w:rPr>
        <w:t>第一节 完善商贸物流体系</w:t>
      </w:r>
      <w:bookmarkEnd w:id="67"/>
    </w:p>
    <w:p w14:paraId="62D7E02C">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加快流通安全保障体系建设为重点，培育流通市场主体，推动商贸流通产业跨越发展。培育供应链、冷链等现代物流业态，建成集汽车交易、商贸流通为一体的现代物流园，完善一二三产物流产业体系，力争形成“一园多点”的物流发展布局。到2025年，新增商贸限上企业20家。</w:t>
      </w:r>
    </w:p>
    <w:p w14:paraId="7F94BBE0">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着力发展大宗商品和特种物流、冷链物流。依托新舟机场和经济开发区，积极推进“互联网+”应用示范，建成集电子商务、商贸物流、货物存储、金融和信息服务为一体的智慧物流园区，加快推进物流园区数据接入省物流云工作，加快全县物流信息化步伐，提高物流运转效率。规划建设绥阳县物流园区项目。在各乡镇（街道）谋划建设2个以上200吨以上基地型冷库，进一步提升全县农产品储藏、运输环节的冷链水平和生产端的集散能力，助推“绥货出山”。</w:t>
      </w:r>
    </w:p>
    <w:p w14:paraId="4F13A757">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互联网+”为抓手，大力发展电子商务。深入推进电子商务进农村，做优做强特色产品电商平台。加强电商培训，整合用好电商创业和相关企业扶持政策，着力将绥阳县打造成黔北“黔货出山”的网货集散中心。</w:t>
      </w:r>
    </w:p>
    <w:p w14:paraId="379DE9ED">
      <w:pPr>
        <w:pStyle w:val="5"/>
        <w:keepNext w:val="0"/>
        <w:keepLines w:val="0"/>
        <w:pageBreakBefore w:val="0"/>
        <w:widowControl w:val="0"/>
        <w:kinsoku/>
        <w:wordWrap/>
        <w:overflowPunct/>
        <w:topLinePunct w:val="0"/>
        <w:autoSpaceDE/>
        <w:autoSpaceDN/>
        <w:bidi w:val="0"/>
        <w:adjustRightInd w:val="0"/>
        <w:snapToGrid w:val="0"/>
        <w:spacing w:line="520" w:lineRule="exact"/>
        <w:ind w:left="0" w:leftChars="0" w:firstLine="1680" w:firstLineChars="600"/>
        <w:textAlignment w:val="auto"/>
        <w:rPr>
          <w:rFonts w:hint="eastAsia" w:ascii="宋体" w:hAnsi="宋体" w:eastAsia="宋体" w:cs="宋体"/>
          <w:sz w:val="28"/>
          <w:szCs w:val="28"/>
        </w:rPr>
      </w:pPr>
    </w:p>
    <w:p w14:paraId="2C1D7B97">
      <w:pPr>
        <w:pStyle w:val="5"/>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68" w:name="_Toc13993"/>
      <w:r>
        <w:rPr>
          <w:rFonts w:hint="eastAsia" w:ascii="宋体" w:hAnsi="宋体" w:eastAsia="宋体" w:cs="宋体"/>
          <w:b/>
          <w:bCs/>
          <w:sz w:val="28"/>
          <w:szCs w:val="28"/>
        </w:rPr>
        <w:t>第二节 大力促进消费提档升级</w:t>
      </w:r>
      <w:bookmarkEnd w:id="68"/>
    </w:p>
    <w:p w14:paraId="24CB43BF">
      <w:pPr>
        <w:pStyle w:val="14"/>
        <w:keepNext w:val="0"/>
        <w:keepLines w:val="0"/>
        <w:pageBreakBefore w:val="0"/>
        <w:widowControl w:val="0"/>
        <w:kinsoku/>
        <w:wordWrap/>
        <w:overflowPunct/>
        <w:topLinePunct w:val="0"/>
        <w:autoSpaceDE/>
        <w:autoSpaceDN/>
        <w:bidi w:val="0"/>
        <w:adjustRightInd w:val="0"/>
        <w:spacing w:before="0" w:beforeAutospacing="0" w:after="0" w:afterAutospacing="0" w:line="52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顺应居民消费升级趋势，完善刺激消费政策举措，进一步改善消费环境，促进重点群体增收，激发消费潜力，培育新型消费，提升传统消费，形成更多消费增长点。实施消费品质提升行动和保护消费者权益。着力建设城乡融合消费网络，加快线上线下消费融合发展，鼓励消费新模式新业态发展，开拓城乡消费市场，推进新兴消费高质量发展。以温泉镇为中心，着力打造绥阳县文化旅游体育运动休闲集聚区；以辣椒、金银花深加工企业为龙头，以郑场镇为物流中心，打造绥阳农副产品综合批发市场集聚区；以绥阳县经济开发区综合物流园区为依托，打造生产性综合型服务业集聚区。完善老城区综合市场，启动新城区农贸市场、物流园和汽车交易市场建设项目，引进知名品牌企业，打造规模适度专业市场3个以上、大型商超5个以上。打造绥阳步行街、夜间消费集聚区，规划建设城区步行街2条、夜间消费集聚区3处。坚持“房子是用来住的”理念，促进住房消费健康发展。推进健康、养老、育幼、文化、家政等生活性服务业高质量发展，引导优质商品和服务向农村延伸。落实国家鼓励消费的财税信贷政策、信用消费政策和带薪休假制度。完善消费环节经营者首问责任制和赔偿先付制度，强化消费者权益保护。</w:t>
      </w:r>
    </w:p>
    <w:p w14:paraId="1CABABA7">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p>
    <w:p w14:paraId="085AE05E">
      <w:pPr>
        <w:keepNext w:val="0"/>
        <w:keepLines w:val="0"/>
        <w:pageBreakBefore w:val="0"/>
        <w:widowControl w:val="0"/>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69" w:name="_Toc10679"/>
      <w:r>
        <w:rPr>
          <w:rFonts w:hint="eastAsia" w:ascii="宋体" w:hAnsi="宋体" w:eastAsia="宋体" w:cs="宋体"/>
          <w:b/>
          <w:bCs/>
          <w:sz w:val="28"/>
          <w:szCs w:val="28"/>
        </w:rPr>
        <w:t>第三节 加速发展其他服务业</w:t>
      </w:r>
      <w:bookmarkEnd w:id="69"/>
    </w:p>
    <w:p w14:paraId="30977228">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大金融业开放力度，深入推进“引金入绥”工程。多措并举加速发展金融服务业，着力优化金融生态环境，加快引进和培育各类专业服务品牌机构，推动普惠金融、绿色金融发展，形成规模化、高层次、专业化服务体系，打造各类新型金融机构、金融业繁荣发展的产业高地。积极实施移动便捷支付和电子支付应用推广。加大金融领域大数据应用，推广移动便捷支付和电子支付，探索在公交等领域开展“刷脸”支付，逐步实现移动支付在公共交通、生活服务、文化教育等公共服务领域的全面应用。大力发展总部经济，精准开展定点定向招商，提高总部经济贡献度。有序推进商业地产开发，盘活存量，做优增量，推动房地产业稳步健康发展。深化发展服务外包，建设高端服务外包示范地。着力发展移动互联产业，打造移动互联产业集群。探索发展会展经济。着力培育发展新兴服务业，探索推进业态创新、模式创新、产品创新，形成服务业新的增长点。强化会计、审计、律师等服务行业培育，完善社会服务体系建设。到2025年，新增入库其他营利性服务业15家以上。</w:t>
      </w:r>
    </w:p>
    <w:p w14:paraId="1A13A960">
      <w:pPr>
        <w:pStyle w:val="2"/>
        <w:keepNext w:val="0"/>
        <w:keepLines w:val="0"/>
        <w:pageBreakBefore w:val="0"/>
        <w:widowControl w:val="0"/>
        <w:kinsoku/>
        <w:wordWrap/>
        <w:overflowPunct/>
        <w:topLinePunct w:val="0"/>
        <w:autoSpaceDE/>
        <w:autoSpaceDN/>
        <w:bidi w:val="0"/>
        <w:spacing w:after="0" w:line="520" w:lineRule="exact"/>
        <w:ind w:left="0" w:leftChars="0"/>
        <w:textAlignment w:val="auto"/>
        <w:rPr>
          <w:rFonts w:hint="eastAsia" w:ascii="宋体" w:hAnsi="宋体" w:eastAsia="宋体" w:cs="宋体"/>
          <w:sz w:val="28"/>
          <w:szCs w:val="28"/>
        </w:rPr>
      </w:pPr>
    </w:p>
    <w:p w14:paraId="6F37D285">
      <w:pPr>
        <w:keepNext w:val="0"/>
        <w:keepLines w:val="0"/>
        <w:pageBreakBefore w:val="0"/>
        <w:widowControl w:val="0"/>
        <w:kinsoku/>
        <w:wordWrap/>
        <w:overflowPunct/>
        <w:topLinePunct w:val="0"/>
        <w:autoSpaceDE/>
        <w:autoSpaceDN/>
        <w:bidi w:val="0"/>
        <w:spacing w:line="520" w:lineRule="exact"/>
        <w:ind w:left="0" w:leftChars="0" w:firstLine="1405" w:firstLineChars="500"/>
        <w:textAlignment w:val="auto"/>
        <w:rPr>
          <w:rFonts w:hint="eastAsia" w:ascii="宋体" w:hAnsi="宋体" w:eastAsia="宋体" w:cs="宋体"/>
          <w:b/>
          <w:bCs/>
          <w:sz w:val="28"/>
          <w:szCs w:val="28"/>
        </w:rPr>
      </w:pPr>
      <w:r>
        <w:rPr>
          <w:rFonts w:hint="eastAsia" w:ascii="宋体" w:hAnsi="宋体" w:eastAsia="宋体" w:cs="宋体"/>
          <w:b/>
          <w:bCs/>
          <w:sz w:val="28"/>
          <w:szCs w:val="28"/>
        </w:rPr>
        <w:t>专栏16  现代服务业重点建设项目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55712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2C63F381">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rPr>
              <w:t>公铁联运物流中心建设项目、农产品现代流通中心建设项目、物流园建设项目、新场仓储物流建设项目、风华镇物流配送中心、黔北现代农产品物流中转园区建设项目、山区特色（地道）农产品产销中心、冷冻链物流中心项目、小关乡电商服务系统建设工程、汽车交易服务中心、诗与远方（金银花交易市场）建设项目、新城区农贸市场建设项目、蒲场黄金茶及农产品综合交易市场建设项目、小关乡农副产品交易市场、供销综合体项目、村级供销网络建设项目、综合农产品交易市场、蒲场鲜活农产品市场改扩建建设项目、蒲场西部汽贸园改造项目、绥阳县会展服务中心建设项目。</w:t>
            </w:r>
          </w:p>
        </w:tc>
      </w:tr>
    </w:tbl>
    <w:p w14:paraId="659B7DC6">
      <w:pPr>
        <w:pStyle w:val="32"/>
        <w:adjustRightInd w:val="0"/>
        <w:snapToGrid w:val="0"/>
        <w:spacing w:line="520" w:lineRule="exact"/>
        <w:ind w:firstLine="0" w:firstLineChars="0"/>
        <w:jc w:val="center"/>
        <w:outlineLvl w:val="0"/>
        <w:rPr>
          <w:rFonts w:hint="eastAsia" w:ascii="宋体" w:hAnsi="宋体" w:eastAsia="宋体" w:cs="宋体"/>
          <w:bCs/>
          <w:sz w:val="36"/>
          <w:szCs w:val="36"/>
        </w:rPr>
        <w:sectPr>
          <w:headerReference r:id="rId21" w:type="default"/>
          <w:pgSz w:w="8392" w:h="11850"/>
          <w:pgMar w:top="1247" w:right="879" w:bottom="1020" w:left="879" w:header="851" w:footer="992" w:gutter="0"/>
          <w:pgNumType w:fmt="decimal"/>
          <w:cols w:space="425" w:num="1"/>
          <w:rtlGutter w:val="0"/>
          <w:docGrid w:type="lines" w:linePitch="456" w:charSpace="0"/>
        </w:sectPr>
      </w:pPr>
      <w:bookmarkStart w:id="70" w:name="_Toc18856"/>
    </w:p>
    <w:p w14:paraId="3ED8F382">
      <w:pPr>
        <w:pStyle w:val="32"/>
        <w:adjustRightInd w:val="0"/>
        <w:snapToGrid w:val="0"/>
        <w:spacing w:line="520" w:lineRule="exact"/>
        <w:ind w:firstLine="0" w:firstLineChars="0"/>
        <w:jc w:val="center"/>
        <w:outlineLvl w:val="0"/>
        <w:rPr>
          <w:rFonts w:hint="eastAsia" w:ascii="宋体" w:hAnsi="宋体" w:eastAsia="宋体" w:cs="宋体"/>
          <w:b/>
          <w:bCs w:val="0"/>
          <w:sz w:val="36"/>
          <w:szCs w:val="36"/>
        </w:rPr>
      </w:pPr>
      <w:r>
        <w:rPr>
          <w:rFonts w:hint="eastAsia" w:ascii="宋体" w:hAnsi="宋体" w:eastAsia="宋体" w:cs="宋体"/>
          <w:b/>
          <w:bCs w:val="0"/>
          <w:sz w:val="36"/>
          <w:szCs w:val="36"/>
        </w:rPr>
        <w:t>第十二章  坚持发展成果共享，不断满足人民群众对美好生活的新期待</w:t>
      </w:r>
      <w:bookmarkEnd w:id="70"/>
    </w:p>
    <w:p w14:paraId="72741F93">
      <w:pPr>
        <w:pStyle w:val="32"/>
        <w:adjustRightInd w:val="0"/>
        <w:snapToGrid w:val="0"/>
        <w:spacing w:line="520" w:lineRule="exact"/>
        <w:ind w:firstLine="0" w:firstLineChars="0"/>
        <w:jc w:val="center"/>
        <w:rPr>
          <w:rFonts w:hint="eastAsia" w:ascii="宋体" w:hAnsi="宋体" w:eastAsia="宋体" w:cs="宋体"/>
          <w:b/>
          <w:sz w:val="28"/>
          <w:szCs w:val="28"/>
        </w:rPr>
      </w:pPr>
    </w:p>
    <w:p w14:paraId="1F08494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以人民为中心，人民至上、改善民生，把实现好、维护好、发展好最广大人民根本利益作为发展的出发点和落脚点，推动基本公共服务均等化和精神文明与物质文明协调发展，促进人的全面发展和社会全面进步，不断增强人民群众获得感、幸福感、安全感。</w:t>
      </w:r>
    </w:p>
    <w:p w14:paraId="4970827E">
      <w:pPr>
        <w:pStyle w:val="5"/>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47377735">
      <w:pPr>
        <w:keepNext w:val="0"/>
        <w:keepLines w:val="0"/>
        <w:pageBreakBefore w:val="0"/>
        <w:numPr>
          <w:ilvl w:val="0"/>
          <w:numId w:val="13"/>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71" w:name="_Toc9528"/>
      <w:r>
        <w:rPr>
          <w:rFonts w:hint="eastAsia" w:ascii="宋体" w:hAnsi="宋体" w:eastAsia="宋体" w:cs="宋体"/>
          <w:b/>
          <w:bCs/>
          <w:sz w:val="28"/>
          <w:szCs w:val="28"/>
        </w:rPr>
        <w:t>繁荣发展文化事业和文化产业</w:t>
      </w:r>
      <w:bookmarkEnd w:id="71"/>
    </w:p>
    <w:p w14:paraId="4452A035">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强党对意识形态工作的全面领导，坚持以社会主义核心价值观引领文化建设，围绕举旗帜、聚民心、育新人、兴文化、展形象的使命任务，大力传承红色基因，加强和改进学校思想政治教育。坚定文化自信，推动理想信念教育常态化制度化，贯穿文化事业发展全过程。</w:t>
      </w:r>
    </w:p>
    <w:p w14:paraId="6ACEF252">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入推进文化产业培育工程。深入实施文化产业培育工程，推进红色基因传承融合化，推进红色文化与旅游、教育培训深度融合，促进文旅、文创、文体等产业创新发展。做大做强“全国文化先进县”“中国诗乡”品牌，实施文艺作品质量提升工程，不断推出文艺精品。大力推进文艺精品创作生产，推出一批具有较高艺术水准、反映时代精神、凸显绥阳特色、深受群众欢迎的文艺作品，讲好绥阳故事。着力建设中国绥阳“三线”军工文化园。创新实施文化惠民工程，广泛开展群众性文化活动，开展富有地方特色的文化旅游节庆活动，充分利用各类现代媒体，利用文化三下乡、旅游节庆、招商引资等机会，整合各类文化资源，宣传推介绥阳本土优秀文艺作品，形成文化品牌驱动效应，提升文化艺术品牌影响力、市场拉动力。大力扶持文化创意设计等现代文化产业项目，整合各类文化资源，推动公共文化数字化建设。利用卧龙湖水上运动中心、“一场四馆”，积极争取承办一批重大体育赛事。</w:t>
      </w:r>
    </w:p>
    <w:p w14:paraId="753D7C8B">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强新时代文明实践建设。大力培育和提炼以社会主义核心价值体系为灵魂，以绥阳优秀历史文化和民族文化为底蕴，以现代文明素质为特征的新时期绥阳人文精神。全面推进全国文明城市创建，广泛开展党史、新中国史、改革开放史、社会主义发展史教育，加强爱国主义、集体主义、社会主义教育，系列教育实践活动，实施社会文化环境净化工程。深入开展农村精神文明创建活动，大力弘扬绥阳县“崇文尚信·自强奋进”的城市精神，遏制农村陈规陋习，构建良好村风、民风。加强廉政文化建设，提升干部职工思想道德水平。推进文化志愿服务活动，倡导绿色环保生产生活方式。全面实施“国民艺术素质教育推进工程”，提高全民文艺素质。大力发展和繁荣农村文化、社区文化、企业文化、校园文化、广场文化。拓展新时代文明实践中心建设，推进县融媒体中心和新时代文明实践中心融合建设工作，实现“两中心”互通共享。</w:t>
      </w:r>
    </w:p>
    <w:p w14:paraId="3EF331CB">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优化文化生态环境，加强自然文化遗产地、重点历史文化遗址、历史文化名村、传统村落、古民居等文化遗产的保护、管理和利用，加快实施民族民间传统文化保护工程。完善绥阳县文化遗产保护名录，制定文化遗产保护实施方案，设立文化遗产保护传承专项基金，健全传承人发掘、培养、传导机制，壮大民间文化传承队伍。全面修缮一批古建筑文物，新建一批地方特色文化保护基地。做好非物质文化遗产的数字化录入工作。</w:t>
      </w:r>
    </w:p>
    <w:p w14:paraId="6BB4537A">
      <w:pPr>
        <w:keepNext w:val="0"/>
        <w:keepLines w:val="0"/>
        <w:pageBreakBefore w:val="0"/>
        <w:kinsoku/>
        <w:wordWrap/>
        <w:overflowPunct/>
        <w:topLinePunct w:val="0"/>
        <w:autoSpaceDE/>
        <w:autoSpaceDN/>
        <w:bidi w:val="0"/>
        <w:spacing w:line="520" w:lineRule="exact"/>
        <w:ind w:left="0" w:leftChars="0" w:firstLine="560" w:firstLineChars="200"/>
        <w:jc w:val="center"/>
        <w:textAlignment w:val="auto"/>
        <w:rPr>
          <w:rFonts w:hint="eastAsia" w:ascii="宋体" w:hAnsi="宋体" w:eastAsia="宋体" w:cs="宋体"/>
          <w:sz w:val="28"/>
          <w:szCs w:val="28"/>
        </w:rPr>
      </w:pPr>
    </w:p>
    <w:p w14:paraId="5FF86ECB">
      <w:pPr>
        <w:keepNext w:val="0"/>
        <w:keepLines w:val="0"/>
        <w:pageBreakBefore w:val="0"/>
        <w:kinsoku/>
        <w:wordWrap/>
        <w:overflowPunct/>
        <w:topLinePunct w:val="0"/>
        <w:autoSpaceDE/>
        <w:autoSpaceDN/>
        <w:bidi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专栏17 公共文化建设项目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304DC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09AE1985">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五三三”影视基地建设项目、诗乡百姓大剧院项目、蒲场狮子山儒溪书院建设项目、民丰公园建设项目、雅泉公园提升改造建设项目、小关乡综合文化广场建设、烈士纪念设施升级改造项目、三线军工文化主题公园建设项目、全民健身中心改扩建项目、贵州省卧龙湖青少年足球训练基地建设项目、遵义市绥阳奥体中心建设项目。</w:t>
            </w:r>
          </w:p>
        </w:tc>
      </w:tr>
    </w:tbl>
    <w:p w14:paraId="63D39EF8">
      <w:pPr>
        <w:keepNext w:val="0"/>
        <w:keepLines w:val="0"/>
        <w:pageBreakBefore w:val="0"/>
        <w:numPr>
          <w:ilvl w:val="255"/>
          <w:numId w:val="0"/>
        </w:numPr>
        <w:kinsoku/>
        <w:wordWrap/>
        <w:overflowPunct/>
        <w:topLinePunct w:val="0"/>
        <w:autoSpaceDE/>
        <w:autoSpaceDN/>
        <w:bidi w:val="0"/>
        <w:spacing w:line="520" w:lineRule="exact"/>
        <w:ind w:left="0" w:leftChars="0"/>
        <w:textAlignment w:val="auto"/>
        <w:outlineLvl w:val="1"/>
        <w:rPr>
          <w:rFonts w:hint="eastAsia" w:ascii="宋体" w:hAnsi="宋体" w:eastAsia="宋体" w:cs="宋体"/>
          <w:sz w:val="28"/>
          <w:szCs w:val="28"/>
        </w:rPr>
      </w:pPr>
    </w:p>
    <w:p w14:paraId="6EADEBE6">
      <w:pPr>
        <w:pStyle w:val="2"/>
        <w:rPr>
          <w:rFonts w:hint="eastAsia"/>
        </w:rPr>
      </w:pPr>
    </w:p>
    <w:p w14:paraId="3405ECB1">
      <w:pPr>
        <w:keepNext w:val="0"/>
        <w:keepLines w:val="0"/>
        <w:pageBreakBefore w:val="0"/>
        <w:numPr>
          <w:ilvl w:val="0"/>
          <w:numId w:val="13"/>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72" w:name="_Toc11344"/>
      <w:r>
        <w:rPr>
          <w:rFonts w:hint="eastAsia" w:ascii="宋体" w:hAnsi="宋体" w:eastAsia="宋体" w:cs="宋体"/>
          <w:b/>
          <w:bCs/>
          <w:sz w:val="28"/>
          <w:szCs w:val="28"/>
        </w:rPr>
        <w:t>千方百计扩大就业促进创业</w:t>
      </w:r>
      <w:bookmarkEnd w:id="72"/>
    </w:p>
    <w:p w14:paraId="52C8E33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提升公共就业服务能力，推进产业发展扩大就业、劳务输出促进就业、大众创业带动就业，保障劳动者待遇和权益，促进更加充分、更高质量就业。扩大公益性岗位安置，帮扶残疾人、零就业家庭成员就业。加强劳务就业平台建设，建立就业监测预警机制，促进失业人员再就业。实施城乡居民增收计划，着力提高低收入群体收入，扩大中等收入群体。</w:t>
      </w:r>
    </w:p>
    <w:p w14:paraId="4A9CF90D">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——大力支持和发展吸纳就业人数较多的产业和企业，不断开发就业新领域，扩大就业渠道和规模。加快推进有利于发挥劳动力比较优势的技术进步和产业升级，优化产业结构和就业环境。</w:t>
      </w:r>
    </w:p>
    <w:p w14:paraId="60F1F609">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强就业培训。建立覆盖城乡劳动者、贯穿劳动者职业生涯全过程、服务各类产业、促进就业创业和满足人才成长需要以及经济社会发展需求的终身职业技能培训制度，全面提高劳动者素质，提高劳动者就业竞争力。推进搬迁劳动力技能培训实现全覆盖，实施企业职工技能提升培训和困难企业职工转岗培训，重点关注农村转移就业劳动者、下岗失业人员、退役军人、残疾人、高校毕业生等群体的就业技能培训和创业创新培训，进一步推动技工教育与产业体系融合。到2025年，城乡统筹培训达到1.8万人次以上。</w:t>
      </w:r>
    </w:p>
    <w:p w14:paraId="385CC2AA">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完善创业指导服务和援助机制体系。提高创业指导服务中心政策宣传与咨询、项目开发与指导、优惠政策认定等一条龙服务能力和水平，邀请专家为创业者提供咨询服务。完善促进创业带动就业、多渠道灵活就业的保障制度，支持和规范发展新就业形态，做好易地搬迁劳动力、高校毕业生、农村转移劳动力、就业困难人员、退役军人等重点群体的就业创业，推动大众创业万众创新。加强返乡农民工创业园和创业孵化园建设，发挥产业园区承载就业、带动创新的能力和水平。至2025年，力争全县新增城镇就业累计达3.8万人以上，新增农村劳动力转移就业累计达3.5万人以上；城镇登记失业率控制在4.2%以内，实现下岗失业人员再就业7400人以上，基本实现“零就业”家庭登记出现一户、消除一户的目标。</w:t>
      </w:r>
    </w:p>
    <w:p w14:paraId="5B47C43E">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——健全人力资源市场，完善劳动力资源信息管理系统，构建覆盖全县就业、创业、失业信息监测网络，加强县、乡镇（街道）就业服务平台建设，强化就业和社会服务功能。</w:t>
      </w:r>
    </w:p>
    <w:p w14:paraId="3117E1DD">
      <w:pPr>
        <w:pStyle w:val="5"/>
        <w:keepNext w:val="0"/>
        <w:keepLines w:val="0"/>
        <w:pageBreakBefore w:val="0"/>
        <w:kinsoku/>
        <w:wordWrap/>
        <w:overflowPunct/>
        <w:topLinePunct w:val="0"/>
        <w:autoSpaceDE/>
        <w:autoSpaceDN/>
        <w:bidi w:val="0"/>
        <w:spacing w:line="520" w:lineRule="exact"/>
        <w:ind w:left="0" w:leftChars="0"/>
        <w:jc w:val="center"/>
        <w:textAlignment w:val="auto"/>
        <w:rPr>
          <w:rFonts w:hint="eastAsia" w:ascii="宋体" w:hAnsi="宋体" w:eastAsia="宋体" w:cs="宋体"/>
          <w:sz w:val="28"/>
          <w:szCs w:val="28"/>
        </w:rPr>
      </w:pPr>
    </w:p>
    <w:p w14:paraId="3513D4FF">
      <w:pPr>
        <w:keepNext w:val="0"/>
        <w:keepLines w:val="0"/>
        <w:pageBreakBefore w:val="0"/>
        <w:numPr>
          <w:ilvl w:val="0"/>
          <w:numId w:val="13"/>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73" w:name="_Toc9692"/>
      <w:r>
        <w:rPr>
          <w:rFonts w:hint="eastAsia" w:ascii="宋体" w:hAnsi="宋体" w:eastAsia="宋体" w:cs="宋体"/>
          <w:b/>
          <w:bCs/>
          <w:sz w:val="28"/>
          <w:szCs w:val="28"/>
        </w:rPr>
        <w:t>推动教育高质量发展</w:t>
      </w:r>
      <w:bookmarkEnd w:id="73"/>
    </w:p>
    <w:p w14:paraId="7A14D6E3">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面贯彻党的教育方针，坚持立德树人，加强师德师风建设，办好人民满意的教育，完善名校长、名教师和学科带头人、骨干教师的培养体系，培养德智体美劳全面发展的社会主义建设者和接班人。坚持教育公益性原则，优化教育资源布局，深化教育改革，促进教育公平。加强农村教育薄弱环节建设，在乡镇建设一批标准化寄宿制学校。大力发展公办幼儿园，支持普惠性民办幼儿园办学。推动义务教育优质均衡发展，增加优质教育资源有效供给。有序推进普通高中向县城集中发展，鼓励高中阶段学校多样化、特色化发展，全面提升普通高中的教育教学水平。加快中等职业技术学校发展，深化职普融通、产教融合、校企合作，探索特色学徒制，大力培养技术技能人才。支持和规范民办教育发展，规范校外培训机构。发挥在线教育优势，完善终身学习体系，建设学习型社会。</w:t>
      </w:r>
    </w:p>
    <w:p w14:paraId="71200396">
      <w:pPr>
        <w:keepNext w:val="0"/>
        <w:keepLines w:val="0"/>
        <w:pageBreakBefore w:val="0"/>
        <w:widowControl/>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shd w:val="clear" w:color="auto" w:fill="FFFFFF"/>
        </w:rPr>
        <w:t>——加强学前教育。推进城乡学前教育资源布局一体化发展，构建以公益性、普惠性为主的学前教育公共服务体系，整体向普惠提质方向发展。扩大学前教育资源，重点发展农村学前教育。大村独立建园、小村联合办园，解决边远农村居住分散幼儿接受学前教育的需求；大力补足城区学前教育资源。规划新建、改建学前教育项目3所，完善相关配套设施。2025年，学前三年幼儿教育毛入园率达到95%，普惠性幼儿园和公办幼儿园达84%以上，公办幼儿园在园幼儿占比达60%以上。</w:t>
      </w:r>
    </w:p>
    <w:p w14:paraId="49164FB5">
      <w:pPr>
        <w:keepNext w:val="0"/>
        <w:keepLines w:val="0"/>
        <w:pageBreakBefore w:val="0"/>
        <w:widowControl/>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——加强义务教育。进一步补齐义务教育短板，巩固义务教育成果，均衡配置教育资源，</w:t>
      </w:r>
      <w:r>
        <w:rPr>
          <w:rFonts w:hint="eastAsia" w:ascii="宋体" w:hAnsi="宋体" w:eastAsia="宋体" w:cs="宋体"/>
          <w:sz w:val="28"/>
          <w:szCs w:val="28"/>
        </w:rPr>
        <w:t>规划</w:t>
      </w:r>
      <w:r>
        <w:rPr>
          <w:rFonts w:hint="eastAsia" w:ascii="宋体" w:hAnsi="宋体" w:eastAsia="宋体" w:cs="宋体"/>
          <w:kern w:val="0"/>
          <w:sz w:val="28"/>
          <w:szCs w:val="28"/>
          <w:shd w:val="clear" w:color="auto" w:fill="FFFFFF"/>
        </w:rPr>
        <w:t>新建、改建</w:t>
      </w:r>
      <w:r>
        <w:rPr>
          <w:rFonts w:hint="eastAsia" w:ascii="宋体" w:hAnsi="宋体" w:eastAsia="宋体" w:cs="宋体"/>
          <w:sz w:val="28"/>
          <w:szCs w:val="28"/>
        </w:rPr>
        <w:t>学校6所（小学2所、初中2所、九年一贯制学校1所、完全中学1所），</w:t>
      </w:r>
      <w:r>
        <w:rPr>
          <w:rFonts w:hint="eastAsia" w:ascii="宋体" w:hAnsi="宋体" w:eastAsia="宋体" w:cs="宋体"/>
          <w:kern w:val="0"/>
          <w:sz w:val="28"/>
          <w:szCs w:val="28"/>
          <w:shd w:val="clear" w:color="auto" w:fill="FFFFFF"/>
        </w:rPr>
        <w:t>全面完成中心城区学校提质改造。进一步改善办学条件，全面推进办学条件标准化，实现区域内义务教育优质均衡发展，入学率确保100%。到2025年，九年义务教育巩固率达到102%以上，义务教育阶段“大班额”比例为零。</w:t>
      </w:r>
    </w:p>
    <w:p w14:paraId="0CC8E0A4">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kern w:val="0"/>
          <w:sz w:val="28"/>
          <w:szCs w:val="28"/>
          <w:shd w:val="clear" w:color="auto" w:fill="FFFFFF"/>
        </w:rPr>
        <w:t>——加强高中教育。</w:t>
      </w:r>
      <w:r>
        <w:rPr>
          <w:rFonts w:hint="eastAsia" w:ascii="宋体" w:hAnsi="宋体" w:eastAsia="宋体" w:cs="宋体"/>
          <w:sz w:val="28"/>
          <w:szCs w:val="28"/>
          <w:shd w:val="clear" w:color="auto" w:fill="FFFFFF"/>
        </w:rPr>
        <w:t>实施普通高中提升计划，加强高中学校标准化建设，配套完善设备设施，教学质量逐年提高。紧盯高考，推进“3+X”教育改革，</w:t>
      </w:r>
      <w:r>
        <w:rPr>
          <w:rFonts w:hint="eastAsia" w:ascii="宋体" w:hAnsi="宋体" w:eastAsia="宋体" w:cs="宋体"/>
          <w:sz w:val="28"/>
          <w:szCs w:val="28"/>
        </w:rPr>
        <w:t>进一步适应高中教学方式和考试模式的变革。</w:t>
      </w:r>
      <w:r>
        <w:rPr>
          <w:rFonts w:hint="eastAsia" w:ascii="宋体" w:hAnsi="宋体" w:eastAsia="宋体" w:cs="宋体"/>
          <w:sz w:val="28"/>
          <w:szCs w:val="28"/>
          <w:shd w:val="clear" w:color="auto" w:fill="FFFFFF"/>
        </w:rPr>
        <w:t>在城区</w:t>
      </w:r>
      <w:r>
        <w:rPr>
          <w:rFonts w:hint="eastAsia" w:ascii="宋体" w:hAnsi="宋体" w:eastAsia="宋体" w:cs="宋体"/>
          <w:sz w:val="28"/>
          <w:szCs w:val="28"/>
        </w:rPr>
        <w:t>规划新建普通高中1所。</w:t>
      </w:r>
      <w:r>
        <w:rPr>
          <w:rFonts w:hint="eastAsia" w:ascii="宋体" w:hAnsi="宋体" w:eastAsia="宋体" w:cs="宋体"/>
          <w:sz w:val="28"/>
          <w:szCs w:val="28"/>
          <w:shd w:val="clear" w:color="auto" w:fill="FFFFFF"/>
        </w:rPr>
        <w:t>力争到2025年，高中阶段</w:t>
      </w:r>
      <w:r>
        <w:rPr>
          <w:rFonts w:hint="eastAsia" w:ascii="宋体" w:hAnsi="宋体" w:eastAsia="宋体" w:cs="宋体"/>
          <w:sz w:val="28"/>
          <w:szCs w:val="28"/>
        </w:rPr>
        <w:t>毛入学率</w:t>
      </w:r>
      <w:r>
        <w:rPr>
          <w:rFonts w:hint="eastAsia" w:ascii="宋体" w:hAnsi="宋体" w:eastAsia="宋体" w:cs="宋体"/>
          <w:sz w:val="28"/>
          <w:szCs w:val="28"/>
          <w:shd w:val="clear" w:color="auto" w:fill="FFFFFF"/>
        </w:rPr>
        <w:t>达97%，高考一本、本科上线率和综合评估处于全市前列。</w:t>
      </w:r>
    </w:p>
    <w:p w14:paraId="25B8C634">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力发展现代职业教育。加快完善现代职业教育体系，大力发展现代职业教育，推进未进入高中或大学的学生接受中职、高职教育全覆盖，贯彻国家职业教育方针，推进职业教育东西部协作，争取东部地区职业院校对口支援绥阳职业院校。鼓励职业院校、企业开展跨区校企合作，发挥企业在实施职业教育中的重要作用。推动形成产教融合、校企合作、工学结合、知行合一的共同育人机制，致力培养高素质劳动者和技术技能人才。鼓励采取竞争性方式选择社会资本建设或者支持企业、学校建设公共性实习实训、创新创业基地、研发实践课程、教学资源等公共服务项目。</w:t>
      </w:r>
    </w:p>
    <w:p w14:paraId="47927701">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大职业教育投入，做好中职教育质量强基工作，全面改善办学条件、稳步提升同心职校办学规模、提升办学质量。大力支持中等职业学校开展“校企合作、校校合作、产教融合”，大力推行订单培养，提高就业率，增强职业教育吸引力，促进职业教育服务当地经济发展能力和办学实力明显提升。积极探索1+X证书试点工作。大力培养“双师型”教师队伍，优化调整专业设置，积极开展职业技能培训，推进终身教育，大力培养高素质农民和农村实用人才，为乡村振兴服务。支持民办教育健康规范发展。</w:t>
      </w:r>
    </w:p>
    <w:p w14:paraId="1BEB20D5">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——大力发展特殊教育，推动教育均衡发展，促进教育公平，加快培育完善特殊教育，适龄残疾人员义务教育入学率达98%以上。</w:t>
      </w:r>
    </w:p>
    <w:p w14:paraId="6050106A">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纵深推进教育教学改革发展。加强学校思想政治教育，将社会主义核心价值观融入中小学各学科课程教学、考试评价中，构建学校、家庭、社会三结合的德育工作网络，促进德育工作整体水平提升。以新课程改革助推学校内涵式发展，大力调动教师投身教学改革的积极性，鼓励开展多样化的课堂教学，积极开展课题研究，提高教育教学质量。深入推进中小学学科教学渗透法治教育，普及法律常识，增强学生法治意识。积极推进阳光体育运动。全面推进素质教育，加强艺术、传统文化、综合实践、健康教育、生态文明教育课程教学，开展丰富多彩的文艺、体育活动，促进学生个性发展。</w:t>
      </w:r>
    </w:p>
    <w:p w14:paraId="3291879A">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切实提高教育现代化水平。全面建成教育信息化公共服务体系，促进信息技术与教育教学的深度融合。实现全县教学点数字教育资源全覆盖，加强教育信息资源开发与利用，建设教学资源中心，有效链接贵州教育资源库。推广应用农村中小学现代教育信息技术，促进优质教育资源普及共享。提高教师信息技术应用水平，引导鼓励学生利用信息技术手段自主学习。至2025年，实现国家教育信息化标准达标率达100%。</w:t>
      </w:r>
    </w:p>
    <w:p w14:paraId="6175B3EC">
      <w:pPr>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0DEA86EB">
      <w:pPr>
        <w:keepNext w:val="0"/>
        <w:keepLines w:val="0"/>
        <w:pageBreakBefore w:val="0"/>
        <w:kinsoku/>
        <w:wordWrap/>
        <w:overflowPunct/>
        <w:topLinePunct w:val="0"/>
        <w:autoSpaceDE/>
        <w:autoSpaceDN/>
        <w:bidi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专栏18 学校建设项目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34583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C986383">
            <w:pPr>
              <w:keepNext w:val="0"/>
              <w:keepLines w:val="0"/>
              <w:pageBreakBefore w:val="0"/>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旺草镇幼儿园改扩建项目、宜安移民社区幼儿园建设项目、虹桥幼儿园建设项目、第四实验幼儿园建设项目、第五实验幼儿园建设项目、学前教育提升工程、蒲场公立第三幼儿园建设项目、温泉镇募阳幼儿园建设项目、兴隆小学改扩建项目、第三实验小学建设项目、第四实验小学建设项目、蒲场长征小学改扩建项目、蒲场村级小学配套设施建设项目、经开区九年一贯制学校建设项目、儒溪中学改扩建项目、第二完全中学建设项目、第三实验中学建设项目、第二实验中学建设项目。</w:t>
            </w:r>
          </w:p>
        </w:tc>
      </w:tr>
    </w:tbl>
    <w:p w14:paraId="00C36545">
      <w:pPr>
        <w:keepNext w:val="0"/>
        <w:keepLines w:val="0"/>
        <w:pageBreakBefore w:val="0"/>
        <w:kinsoku/>
        <w:wordWrap/>
        <w:overflowPunct/>
        <w:topLinePunct w:val="0"/>
        <w:autoSpaceDE/>
        <w:autoSpaceDN/>
        <w:bidi w:val="0"/>
        <w:spacing w:line="520" w:lineRule="exact"/>
        <w:ind w:left="0" w:leftChars="0"/>
        <w:textAlignment w:val="auto"/>
        <w:outlineLvl w:val="1"/>
        <w:rPr>
          <w:rFonts w:hint="eastAsia" w:ascii="宋体" w:hAnsi="宋体" w:eastAsia="宋体" w:cs="宋体"/>
          <w:sz w:val="28"/>
          <w:szCs w:val="28"/>
        </w:rPr>
      </w:pPr>
    </w:p>
    <w:p w14:paraId="050C18BA">
      <w:pPr>
        <w:pStyle w:val="2"/>
        <w:rPr>
          <w:rFonts w:hint="eastAsia"/>
        </w:rPr>
      </w:pPr>
    </w:p>
    <w:p w14:paraId="7A7AF914">
      <w:pPr>
        <w:keepNext w:val="0"/>
        <w:keepLines w:val="0"/>
        <w:pageBreakBefore w:val="0"/>
        <w:numPr>
          <w:ilvl w:val="0"/>
          <w:numId w:val="13"/>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74" w:name="_Toc14380"/>
      <w:r>
        <w:rPr>
          <w:rFonts w:hint="eastAsia" w:ascii="宋体" w:hAnsi="宋体" w:eastAsia="宋体" w:cs="宋体"/>
          <w:b/>
          <w:bCs/>
          <w:sz w:val="28"/>
          <w:szCs w:val="28"/>
        </w:rPr>
        <w:t>加快推进健康绥阳建设</w:t>
      </w:r>
      <w:bookmarkEnd w:id="74"/>
    </w:p>
    <w:p w14:paraId="343BF8E4">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力发展卫生健康事业，促进健康绥阳建设。始终把人民群众生命安全和身体健康入在第一位，全面提升公共卫生服务能力，加强疾病防控体系建设，加强医疗救助体系建设，健全重大疾病医疗保险和救助制度，加强出生缺陷综合防治，提高人口素质，加强卫生监督管理体系和健康育化体系建设，广泛开展爱国卫生运动。</w:t>
      </w:r>
    </w:p>
    <w:p w14:paraId="6C2FAFBF">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面提高医疗服务水平。加快推进县级公立医院综合改革，深化县镇村三级医疗服务、医疗保障、药品供应、医疗卫生监管等体制改革，不断提升医疗卫生服务水平。探索以县级医院为龙头、各乡镇（街道）卫生院为骨干、村卫生室为基础的三级卫生体系，119个社区（居委会）和易地扶贫搬迁安置点卫生室服务能力得到有力提升。到2025年，建成功能齐全的“15分钟城市社区健康服务圈”和“30分钟乡村健康服务圈”，在全县形成预防、治疗、康复、护理协调发展的配置格局。积极鼓励社会办医，加快形成多元化办医格局，到2025年，全县每千人口拥有病床达到5张。加强医疗质量全程监管，保障医疗安全。完善以国家基本药物制度为基础的药品供应保障体系，保障人民群众基本用药和安全用药。推动中医药事业发展。加快完善全县医疗卫生服务体系，提升医疗服务水平，使城乡群众普遍享有安全、有效、方便、廉价的现代医疗卫生服务。</w:t>
      </w:r>
    </w:p>
    <w:p w14:paraId="400FDFFF">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入推进卫生健康人才队伍建设。大力实施“人才兴卫”战略，建立科学合理的人才引进、成长机制，落实政策待遇，培养和造就一支结构合理、德才兼备的卫生健康人才队伍，到2025年，每千人拥有执业医生2.09人、执业护士2.57人、公共卫生人员0.79人，每万常住人口全科医生达到2人以上。</w:t>
      </w:r>
    </w:p>
    <w:p w14:paraId="696DE48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健全完善公共卫生健康服务体系建设。加强公共卫生基础设施建设，大力推进基本公共卫生健康项目建设，谋划实施重大公共卫生健康服务项目，进一步强化城乡居民公共卫生健康服务体系。建立突发公共卫生事件应急处理机制和长效管理机制，落实疾病预防控制措施，根据经济发展适时增加公共卫生服务内容，加强对严重威胁群众健康的传染病、地方病、慢性病等重大疾病的监测与防控。加大健康教育宣传力度，提高人民群众疾病防治知识知晓率，引导养成健康的生活行为方式。到2025年，居民平均期望寿命达到75岁，法定传染病年发病率控制在400/10万以内，预防接种率达98%以上，孕产妇死亡率控制在18/10万以内，婴儿死亡率控制在7‰以内，5岁以下儿童死亡率控制在9.5‰以内。广泛开展爱国卫生运动，切实巩固国家卫生县城成果。</w:t>
      </w:r>
    </w:p>
    <w:p w14:paraId="4811A0B0">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进一步完善基本医疗保障制度。加快建立和完善以基本医疗保障为主体，以医疗补助和商业医疗保险等其他多种形式为补充，建立健全基本医疗保险，大病保险、医疗救助“三重医疗保障”，覆盖城乡群众的多层次医疗保障体系。积极探索多举措控费方式，开展单病种限额付费、住院总额预付包干制、按床日付费等多种形式的支付方式改革。进一步扩大重大疾病保障和纳入报销的慢性病病种范围，巩固完善大病保险运行机制，提高保障标准，避免因病致贫、因病返贫。</w:t>
      </w:r>
    </w:p>
    <w:p w14:paraId="6F70BCF0">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断促进人口健康均衡发展。传播科学、文明、进步的婚育观念。严厉打击非医学需要胎儿性别鉴定和选择性别人工终止妊娠，促进出生人口性别比逐步趋于平衡。加强新生儿缺陷干预，确保出生人口素质，升级完善妇幼保健服务能力。推进基本公共卫生健康服务均等化。按照常住人口配置服务资源，将流动人口纳入城镇基本公共卫生和计划生育服务范围。加大对计划生育家庭扶助力度，切实保障计划生育家庭合法权益。科学应对人口老龄化。到2025年，人口自然增长率控制在7‰以内。坚持控制人口数量与提高人口素质、调整人口结构并重，努力提高人口健康均衡发展水平。</w:t>
      </w:r>
    </w:p>
    <w:p w14:paraId="43C78D4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进健康贵州·绥阳行动，促进健康绥阳、诗乡绥阳养生天堂建设,大力提升全民健康水平。到2025年，居民营养健康体制机制和工作制度更加健全完善，食物营养健康产业持续健康发展，传统和民族的食养产业更加丰富，“互联网+营养健康”的智能化应用普遍推广，居民营养健康素养进一步提高，营养健康状况显著改善。</w:t>
      </w:r>
    </w:p>
    <w:p w14:paraId="173ADF42">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入推进卫生健康信息化建设。在整合利用现有信息化资源基础上，不断巩固完善城乡居民基本医疗保险、HIS系统和居民电子健康档案管理系统信息共享。健全县镇村三级卫生健康管理、医疗管理、妇幼保健、疾病监测、疫情报告、卫生健康监督、120应急指挥、社区服务、居民健康档案、远程会诊、网络教育、医保互通、电子政务等多功能为一体的高效、便捷、畅通、安全、兼容全面的卫生健康信息应用体系云平台，实现全县范围内卫生健康信息互联互通和资源共享，不断提高“智慧医疗”服务水平。</w:t>
      </w:r>
    </w:p>
    <w:p w14:paraId="002116B3">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——健全“医联体”“医共体”机制，全面推进分级诊疗制度，支持民营医院发展，推广远程医疗，加快形成多元化办医格局。</w:t>
      </w:r>
    </w:p>
    <w:p w14:paraId="7266EF4A">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落实医疗机构公共卫生责任，建立医防协同机制，增强县疾控中心能力建设，提高突发公共卫生事件应急处置和医疗救治能力。重视精神卫生和心理健康，提升健康教育、慢病管理和残疾康复服务质量，深入开展爱国卫生运动和全民健身国家战略，为群众提供全方位全周期健康服务。</w:t>
      </w:r>
    </w:p>
    <w:p w14:paraId="7829A812">
      <w:pPr>
        <w:pStyle w:val="5"/>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0EE28B61">
      <w:pPr>
        <w:keepNext w:val="0"/>
        <w:keepLines w:val="0"/>
        <w:pageBreakBefore w:val="0"/>
        <w:kinsoku/>
        <w:wordWrap/>
        <w:overflowPunct/>
        <w:topLinePunct w:val="0"/>
        <w:autoSpaceDE/>
        <w:autoSpaceDN/>
        <w:bidi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专栏19 卫生健康建设项目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7E743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Borders>
              <w:bottom w:val="single" w:color="auto" w:sz="4" w:space="0"/>
            </w:tcBorders>
          </w:tcPr>
          <w:p w14:paraId="7DAB05A9">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中医康养康复中心及口腔专科医院建设项目、计划生育和妇幼保健院新院区基础设施建设项目、中医院发热门诊及传染病区建设项目、人民医院传染病区能力提升建设项目、泌尿专科医院建设项目、茅垭镇卫生院整体搬迁建设项目、乡镇卫生院能力提升建设项目、旺草镇卫生院门急诊综合大楼及医养结合建设项目、小关乡辅乐片区卫生院分院建设项目、小关乡医疗卫生系统升级改造建设项目、疾控中心大楼及医疗应急物资储备库建设项目。</w:t>
            </w:r>
          </w:p>
        </w:tc>
      </w:tr>
      <w:tr w14:paraId="33B6B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Borders>
              <w:top w:val="single" w:color="auto" w:sz="4" w:space="0"/>
              <w:left w:val="nil"/>
              <w:bottom w:val="nil"/>
              <w:right w:val="nil"/>
            </w:tcBorders>
          </w:tcPr>
          <w:p w14:paraId="780AFF47">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p>
        </w:tc>
      </w:tr>
    </w:tbl>
    <w:p w14:paraId="74C743DB">
      <w:pPr>
        <w:keepNext w:val="0"/>
        <w:keepLines w:val="0"/>
        <w:pageBreakBefore w:val="0"/>
        <w:numPr>
          <w:ilvl w:val="0"/>
          <w:numId w:val="13"/>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75" w:name="_Toc16913"/>
      <w:r>
        <w:rPr>
          <w:rFonts w:hint="eastAsia" w:ascii="宋体" w:hAnsi="宋体" w:eastAsia="宋体" w:cs="宋体"/>
          <w:b/>
          <w:bCs/>
          <w:sz w:val="28"/>
          <w:szCs w:val="28"/>
        </w:rPr>
        <w:t>健全多层次社会保障体系</w:t>
      </w:r>
      <w:bookmarkEnd w:id="75"/>
    </w:p>
    <w:p w14:paraId="122959B6">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深化社会保障制度改革，扩大参保覆盖面。健全覆盖全民、统筹城乡、公平统一、可持续的多层次社会保障体系。推动基本医疗保险省级统筹，落实异地就医结算。落实全民参保计划，建立长期护理保险制度，积极发展商业医疗保险。积极落实失业保险、工伤保险改革相关政策。健全灵活就业人员社保制度。健全退役军人服务保障制度。高度关注困难群体的生活、住房、医疗、教育问题，健全分层分类的社会救助体系。完善老年人、残疾人关爱服务体系和设施，健全残疾人、孤儿等社会福利制度。</w:t>
      </w:r>
    </w:p>
    <w:p w14:paraId="4DB10B86">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构建完善的社会保障体系。充分发挥社会保险政策咨询平台的作用，加大社会保险政策的宣传力度。进一步完善基本保险制度，充分发挥保险作用。全面推进被征地农民养老保险，扩大基本养老保险、失业保险和工伤保险覆盖面，实现“应保尽保、分类施保”。持续推进“全民参保计划”，确保城乡居民医保参保率达100%。建设完善医疗保障信息平台，全面开展重大特疾病医疗救助，加强基本医保、大病保险、医疗救助等制度衔接完善，以基本医保为主体，大病保险为延伸，医疗救助为托底，商业健康保险及多种形式的补充医疗保险为补充的多层次保障体系。</w:t>
      </w:r>
    </w:p>
    <w:p w14:paraId="455FB735">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立多元化的社会救助体系。全面推进医疗救助改革与创新，实现医疗救助“一站式”结算服务全覆盖。加强救助监督管理，提高基本医疗救助保障水平，整合各项救助制度政策，实现“应救尽救、按标施救”，基本住院救助年度限额达到3万元以上。推动城乡低保标准、保障范围与全面小康社会建设、扶贫攻坚进程相衔接，实现“应保尽保、分类施保”，根据经济增长水平，合理提高城乡低保标准，不断提高低保对象生活质量和水平，城乡低保标准年均增长4%以上。到2025年，农村低保标准达到5000元/人/年。五保对象全部纳入供养，特困供养提标5%以上。</w:t>
      </w:r>
    </w:p>
    <w:p w14:paraId="2DECF6CD">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力拓展社会福利保障范围。不断完善村级办公场所的设备设施。全面推进养老服务，大力发展社区照料服务，加快养老服务机构建设，实现每千名老年人拥有养老床位30张以上。积极发展以扶老、助残、救孤、济困为重点的社会福利事业，建立健全农村留守儿童、妇女和老人关爱服务体系。从残疾人社会保障、康复服务、托养服务、辅助器具适配等方面保障和改善残疾人民生，加大服务残疾人力度，推动全县残疾人生活与全社会相协调、相适应。</w:t>
      </w:r>
    </w:p>
    <w:p w14:paraId="5B83D7D9">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施住房保障安居工程，解决困难群众的住房问题。建立完善多主体供给、多渠道保障、租购并举的住房制度，强化完善并严格执行准入退出机制，因地制宜发展共有产权住房，推进棚户区改造、老旧小区改造、公租房建设等，加快解决城镇中低收入群体和符合条件新居民住房困难。深入推进农村住房改革试点，推进农村危房改造，切实改善农村群众的居住条件。</w:t>
      </w:r>
    </w:p>
    <w:p w14:paraId="17119326">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施人居环境提升工程，改善群众的居住环境。深入推进城镇和农村环境整治，重点加大城中村、城乡结合部的基础设施建设和公共服务设施配套建设，持续推进城镇环境绿化、亮化、美化建设，大力开展农村厕所革命，实施农村人居环境整治整区推进。</w:t>
      </w:r>
    </w:p>
    <w:p w14:paraId="32F93D34">
      <w:pPr>
        <w:keepNext w:val="0"/>
        <w:keepLines w:val="0"/>
        <w:pageBreakBefore w:val="0"/>
        <w:kinsoku/>
        <w:wordWrap/>
        <w:overflowPunct/>
        <w:topLinePunct w:val="0"/>
        <w:autoSpaceDE/>
        <w:autoSpaceDN/>
        <w:bidi w:val="0"/>
        <w:spacing w:line="520" w:lineRule="exact"/>
        <w:ind w:left="0" w:leftChars="0"/>
        <w:textAlignment w:val="auto"/>
        <w:rPr>
          <w:rFonts w:hint="eastAsia"/>
        </w:rPr>
      </w:pPr>
    </w:p>
    <w:p w14:paraId="3C44BBF8">
      <w:pPr>
        <w:keepNext w:val="0"/>
        <w:keepLines w:val="0"/>
        <w:pageBreakBefore w:val="0"/>
        <w:kinsoku/>
        <w:wordWrap/>
        <w:overflowPunct/>
        <w:topLinePunct w:val="0"/>
        <w:autoSpaceDE/>
        <w:autoSpaceDN/>
        <w:bidi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专栏20 社会保障体系建设项目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4CD4CA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Borders>
              <w:bottom w:val="single" w:color="auto" w:sz="4" w:space="0"/>
            </w:tcBorders>
          </w:tcPr>
          <w:p w14:paraId="636564C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医养服务中心项目、社会救助站项目、宽阔福利院建设项目、社会救助服务中心建设项目、社区综合服务设施建设项目、殡葬一体化服务中心建设项目、太白镇集中住房工程、东门片区公租房建设项目、东门片区公租房建设项目基础配套设施项目、郑场镇2023年公租房建设项目、郑场镇2023年公租房建设项目基础配套设施项目、牛心至蒲场市政道项目安置还房项目 、牛心至蒲场市政道项目安置还房项目基础配套设施项目、蒲场镇2024年公租房建设项目、蒲场镇2024年公租房建设项目基础配套设施项目。</w:t>
            </w:r>
          </w:p>
        </w:tc>
      </w:tr>
      <w:tr w14:paraId="4C081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Borders>
              <w:top w:val="single" w:color="auto" w:sz="4" w:space="0"/>
              <w:left w:val="nil"/>
              <w:bottom w:val="nil"/>
              <w:right w:val="nil"/>
            </w:tcBorders>
          </w:tcPr>
          <w:p w14:paraId="4FD0D7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rPr>
            </w:pPr>
          </w:p>
          <w:p w14:paraId="58E0A357">
            <w:pPr>
              <w:pStyle w:val="2"/>
              <w:rPr>
                <w:rFonts w:hint="eastAsia"/>
              </w:rPr>
            </w:pPr>
          </w:p>
        </w:tc>
      </w:tr>
    </w:tbl>
    <w:p w14:paraId="23BE9DB9">
      <w:pPr>
        <w:keepNext w:val="0"/>
        <w:keepLines w:val="0"/>
        <w:pageBreakBefore w:val="0"/>
        <w:numPr>
          <w:ilvl w:val="0"/>
          <w:numId w:val="13"/>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76" w:name="_Toc26834"/>
      <w:r>
        <w:rPr>
          <w:rFonts w:hint="eastAsia" w:ascii="宋体" w:hAnsi="宋体" w:eastAsia="宋体" w:cs="宋体"/>
          <w:b/>
          <w:bCs/>
          <w:sz w:val="28"/>
          <w:szCs w:val="28"/>
        </w:rPr>
        <w:t>落实积极应对人口老龄化国家战略</w:t>
      </w:r>
      <w:bookmarkEnd w:id="76"/>
    </w:p>
    <w:p w14:paraId="095A071E">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增强生育政策包容性，提高优生优育服务水平。构建普惠托育服务体系，降低生育、养育、教育成本，促进人口长期均衡发展，提高人口素质。积极开发老龄人力资源，发展“银发经济”，全面推动老年教育事业健康持续发展。推动养老事业和养老产业协同发展，发展普惠型养老服务和互助性养老，建成城市社区居家基本养老服务网络，加快构建居家社区机构相协调、医养康养相结合的养老服务体系，建立健全养老服务综合监管制度。</w:t>
      </w:r>
    </w:p>
    <w:p w14:paraId="0DE9C0BE">
      <w:pPr>
        <w:pStyle w:val="5"/>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p>
    <w:p w14:paraId="2D4B2547">
      <w:pPr>
        <w:pStyle w:val="5"/>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专栏21 老龄化重点建设项目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3288F0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4" w:hRule="atLeast"/>
        </w:trPr>
        <w:tc>
          <w:tcPr>
            <w:tcW w:w="8522" w:type="dxa"/>
          </w:tcPr>
          <w:p w14:paraId="39F07CC8">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4个敬老院提质改造项目、老年福利综合体提质改造项目、诗乡老年公寓提质改造项目、宽阔养老院建设项目、休闲养老服务中心建设项目。</w:t>
            </w:r>
          </w:p>
        </w:tc>
      </w:tr>
    </w:tbl>
    <w:p w14:paraId="27F580EB">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p>
    <w:p w14:paraId="4827A9E4">
      <w:pPr>
        <w:keepNext w:val="0"/>
        <w:keepLines w:val="0"/>
        <w:pageBreakBefore w:val="0"/>
        <w:kinsoku/>
        <w:wordWrap/>
        <w:overflowPunct/>
        <w:topLinePunct w:val="0"/>
        <w:autoSpaceDE/>
        <w:autoSpaceDN/>
        <w:bidi w:val="0"/>
        <w:spacing w:line="520" w:lineRule="exact"/>
        <w:ind w:left="0" w:leftChars="0"/>
        <w:textAlignment w:val="auto"/>
        <w:rPr>
          <w:rFonts w:hint="eastAsia" w:ascii="宋体" w:hAnsi="宋体" w:eastAsia="宋体" w:cs="宋体"/>
          <w:b/>
          <w:sz w:val="28"/>
          <w:szCs w:val="28"/>
        </w:rPr>
        <w:sectPr>
          <w:headerReference r:id="rId22" w:type="default"/>
          <w:pgSz w:w="8392" w:h="11850"/>
          <w:pgMar w:top="1247" w:right="879" w:bottom="1020" w:left="879" w:header="851" w:footer="992" w:gutter="0"/>
          <w:pgNumType w:fmt="decimal"/>
          <w:cols w:space="425" w:num="1"/>
          <w:rtlGutter w:val="0"/>
          <w:docGrid w:type="lines" w:linePitch="456" w:charSpace="0"/>
        </w:sectPr>
      </w:pPr>
      <w:r>
        <w:rPr>
          <w:rFonts w:hint="eastAsia" w:ascii="宋体" w:hAnsi="宋体" w:eastAsia="宋体" w:cs="宋体"/>
          <w:b/>
          <w:sz w:val="28"/>
          <w:szCs w:val="28"/>
        </w:rPr>
        <w:br w:type="page"/>
      </w:r>
    </w:p>
    <w:p w14:paraId="04492056">
      <w:pPr>
        <w:adjustRightInd w:val="0"/>
        <w:snapToGrid w:val="0"/>
        <w:spacing w:line="520" w:lineRule="exact"/>
        <w:ind w:firstLine="723" w:firstLineChars="200"/>
        <w:jc w:val="center"/>
        <w:outlineLvl w:val="0"/>
        <w:rPr>
          <w:rFonts w:hint="eastAsia" w:ascii="宋体" w:hAnsi="宋体" w:eastAsia="宋体" w:cs="宋体"/>
          <w:b/>
          <w:bCs w:val="0"/>
          <w:sz w:val="36"/>
          <w:szCs w:val="36"/>
        </w:rPr>
      </w:pPr>
      <w:bookmarkStart w:id="77" w:name="_Toc21101"/>
      <w:r>
        <w:rPr>
          <w:rFonts w:hint="eastAsia" w:ascii="宋体" w:hAnsi="宋体" w:eastAsia="宋体" w:cs="宋体"/>
          <w:b/>
          <w:bCs w:val="0"/>
          <w:sz w:val="36"/>
          <w:szCs w:val="36"/>
        </w:rPr>
        <w:t>第十三章  统筹发展和安全，营造高质量发展良好环境</w:t>
      </w:r>
      <w:bookmarkEnd w:id="77"/>
    </w:p>
    <w:p w14:paraId="2758C041">
      <w:pPr>
        <w:pStyle w:val="5"/>
        <w:spacing w:line="520" w:lineRule="exact"/>
        <w:ind w:left="640"/>
        <w:rPr>
          <w:rFonts w:hint="eastAsia" w:ascii="宋体" w:hAnsi="宋体" w:eastAsia="宋体" w:cs="宋体"/>
          <w:b/>
          <w:bCs w:val="0"/>
        </w:rPr>
      </w:pPr>
    </w:p>
    <w:p w14:paraId="23493B6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坚持专项治理、系统治理、依法治理、综合治理、源头治理，落实国家安全战略，着力防范化解重大风险，促进社会治理体系和工作格局更加成熟定型。</w:t>
      </w:r>
    </w:p>
    <w:p w14:paraId="70B849A6">
      <w:pPr>
        <w:pStyle w:val="5"/>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b/>
          <w:bCs/>
          <w:sz w:val="28"/>
          <w:szCs w:val="28"/>
        </w:rPr>
      </w:pPr>
    </w:p>
    <w:p w14:paraId="46B8541A">
      <w:pPr>
        <w:keepNext w:val="0"/>
        <w:keepLines w:val="0"/>
        <w:pageBreakBefore w:val="0"/>
        <w:widowControl w:val="0"/>
        <w:numPr>
          <w:ilvl w:val="0"/>
          <w:numId w:val="14"/>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78" w:name="_Toc14966"/>
      <w:r>
        <w:rPr>
          <w:rFonts w:hint="eastAsia" w:ascii="宋体" w:hAnsi="宋体" w:eastAsia="宋体" w:cs="宋体"/>
          <w:b/>
          <w:bCs/>
          <w:sz w:val="28"/>
          <w:szCs w:val="28"/>
        </w:rPr>
        <w:t>建设更高水平的平安绥阳</w:t>
      </w:r>
      <w:bookmarkEnd w:id="78"/>
    </w:p>
    <w:p w14:paraId="24C39023">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坚持和发展新时代“枫桥经验”，健全党组织领导、村（社区）委会主导、人民群众为主体的新型基层社会治理框架，建设人人有责、人人尽责、人人参与、人人享有的社会治理共同体。落实</w:t>
      </w:r>
      <w:r>
        <w:rPr>
          <w:rFonts w:hint="eastAsia" w:ascii="宋体" w:hAnsi="宋体" w:eastAsia="宋体" w:cs="宋体"/>
          <w:bCs/>
          <w:sz w:val="28"/>
          <w:szCs w:val="28"/>
        </w:rPr>
        <w:t>总体国家安全观，</w:t>
      </w:r>
      <w:r>
        <w:rPr>
          <w:rFonts w:hint="eastAsia" w:ascii="宋体" w:hAnsi="宋体" w:eastAsia="宋体" w:cs="宋体"/>
          <w:sz w:val="28"/>
          <w:szCs w:val="28"/>
        </w:rPr>
        <w:t>加强国家安全工作机制建设，强化反恐维稳工作，严厉防范和坚决打击各种渗透颠覆破坏活动。建立公共安全体制机制。</w:t>
      </w:r>
    </w:p>
    <w:p w14:paraId="7F155EC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升维护社会稳定能力。坚持用大概率思维应对小概率事件，确保社会大局和谐稳定。要牢牢掌握意识形态工作主动权、话语权，建设绥阳县网络舆情监测与处置中心，强化网络舆情监控处置，严防敌对势力、宗教极端势力渗透颠覆破坏。</w:t>
      </w:r>
    </w:p>
    <w:p w14:paraId="6901672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完善社会治安防控体系。聚焦“打造县域现代化治理先行示范区”这一战略导向，全面优化城乡立体化治安防控体系，利用互联网技术，将镇（乡、街道）级卫生院建成智慧医院、全县中小学学校建成智慧校园，全面推进智慧小区建设，充分应用人脸识别、动态感知、AI技术丰富和完善“雪亮（天网）工程”前端设备覆盖，推进视频图像结构化分析、研判、预警、预防和侦查应用，构建多平台、多渠道社会治安防控体系，全面提升信息化、智能化、现代化社会治理能力水平。</w:t>
      </w:r>
    </w:p>
    <w:p w14:paraId="023D27A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防恐反恐，强化应急处突，建立反恐工作联动机制，围绕社会稳定和长治久安这个总目标，依法精准打击民族分裂、宗教极端和暴力恐怖活动，推进反恐维稳能力建设，不断巩固和拓展反恐怖斗争压倒性态势。</w:t>
      </w:r>
    </w:p>
    <w:p w14:paraId="2946CCB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kern w:val="21"/>
          <w:sz w:val="28"/>
          <w:szCs w:val="28"/>
        </w:rPr>
      </w:pPr>
      <w:r>
        <w:rPr>
          <w:rFonts w:hint="eastAsia" w:ascii="宋体" w:hAnsi="宋体" w:eastAsia="宋体" w:cs="宋体"/>
          <w:sz w:val="28"/>
          <w:szCs w:val="28"/>
        </w:rPr>
        <w:t>——</w:t>
      </w:r>
      <w:r>
        <w:rPr>
          <w:rFonts w:hint="eastAsia" w:ascii="宋体" w:hAnsi="宋体" w:eastAsia="宋体" w:cs="宋体"/>
          <w:kern w:val="21"/>
          <w:sz w:val="28"/>
          <w:szCs w:val="28"/>
        </w:rPr>
        <w:t>加强禁毒工作，积极开展禁毒“大扫除”三年专项行动，</w:t>
      </w:r>
      <w:r>
        <w:rPr>
          <w:rFonts w:hint="eastAsia" w:ascii="宋体" w:hAnsi="宋体" w:eastAsia="宋体" w:cs="宋体"/>
          <w:sz w:val="28"/>
          <w:szCs w:val="28"/>
          <w:shd w:val="clear" w:color="auto" w:fill="FFFFFF"/>
        </w:rPr>
        <w:t>积极创新宣传手段和方式</w:t>
      </w:r>
      <w:r>
        <w:rPr>
          <w:rFonts w:hint="eastAsia" w:ascii="宋体" w:hAnsi="宋体" w:eastAsia="宋体" w:cs="宋体"/>
          <w:kern w:val="21"/>
          <w:sz w:val="28"/>
          <w:szCs w:val="28"/>
        </w:rPr>
        <w:t>以青少年毒品预防教育工程为重点，组织形式多样、内容丰富的禁毒宣传教育活动，推广应用全国青少年毒品预防教育数字化平台，健全完善毒品治理体系，完善戒毒康复管理模式，全面提升毒品治理能力。</w:t>
      </w:r>
    </w:p>
    <w:p w14:paraId="72C21A8B">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1"/>
          <w:sz w:val="28"/>
          <w:szCs w:val="28"/>
        </w:rPr>
        <w:t>——纵深推进扫黑除恶专项斗争，统筹推进打击跨境赌博、电信网络诈骗和缉枪治爆、扫黄打非、食药环等专项行动，依法打击和惩治各类违法犯罪活动，不断提升“平安绥阳”建设科学化、社会化、法治化、智能化水平。</w:t>
      </w:r>
    </w:p>
    <w:p w14:paraId="4AEA5C5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——完成国防动员体制改革，深化“双应”一体化建设。深化民兵和征兵调整改革，促进民兵应急力量建设与应急管理体系有效衔接。进一步加强国防后备力量建设。</w:t>
      </w:r>
    </w:p>
    <w:p w14:paraId="4C2307D1">
      <w:pPr>
        <w:pStyle w:val="2"/>
        <w:keepNext w:val="0"/>
        <w:keepLines w:val="0"/>
        <w:pageBreakBefore w:val="0"/>
        <w:widowControl w:val="0"/>
        <w:kinsoku/>
        <w:wordWrap/>
        <w:overflowPunct/>
        <w:topLinePunct w:val="0"/>
        <w:autoSpaceDE/>
        <w:autoSpaceDN/>
        <w:bidi w:val="0"/>
        <w:spacing w:after="0" w:line="520" w:lineRule="exact"/>
        <w:ind w:left="0" w:leftChars="0"/>
        <w:textAlignment w:val="auto"/>
        <w:rPr>
          <w:rFonts w:hint="eastAsia"/>
        </w:rPr>
      </w:pPr>
    </w:p>
    <w:p w14:paraId="3EAB40A5">
      <w:pPr>
        <w:keepNext w:val="0"/>
        <w:keepLines w:val="0"/>
        <w:pageBreakBefore w:val="0"/>
        <w:widowControl w:val="0"/>
        <w:kinsoku/>
        <w:wordWrap/>
        <w:overflowPunct/>
        <w:topLinePunct w:val="0"/>
        <w:autoSpaceDE/>
        <w:autoSpaceDN/>
        <w:bidi w:val="0"/>
        <w:spacing w:line="520" w:lineRule="exact"/>
        <w:ind w:left="0" w:leftChars="0"/>
        <w:textAlignment w:val="auto"/>
        <w:rPr>
          <w:rFonts w:hint="eastAsia"/>
        </w:rPr>
      </w:pPr>
    </w:p>
    <w:p w14:paraId="1ECC793C">
      <w:pPr>
        <w:keepNext w:val="0"/>
        <w:keepLines w:val="0"/>
        <w:pageBreakBefore w:val="0"/>
        <w:widowControl w:val="0"/>
        <w:numPr>
          <w:ilvl w:val="0"/>
          <w:numId w:val="14"/>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79" w:name="_Toc6270"/>
      <w:r>
        <w:rPr>
          <w:rFonts w:hint="eastAsia" w:ascii="宋体" w:hAnsi="宋体" w:eastAsia="宋体" w:cs="宋体"/>
          <w:b/>
          <w:bCs/>
          <w:sz w:val="28"/>
          <w:szCs w:val="28"/>
        </w:rPr>
        <w:t>大力推进法治绥阳建设</w:t>
      </w:r>
      <w:bookmarkEnd w:id="79"/>
    </w:p>
    <w:p w14:paraId="699189DE">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严格执法、公正司法、全民守法。深化综合行政执法体制改革，健全综合行政执法联动协调机制和行政执法、国家监察与刑事司法衔接机制。健全完善法治监管保障体系。深化司法体制综合配套改革，加强政法领域监督制约体系建设。增强全民自觉守法意识，助推“八五”普法取得实效。加强同民法典相关的制度建设。</w:t>
      </w:r>
    </w:p>
    <w:p w14:paraId="1BA15382">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进依法履职依法决策。完善行政组织和行政程序制度建设，推进机构、职能、权限、程序、责任法定化，优化政府部门内部设置，加快形成权界清晰、分工合理、权责一致、运转高效、法治保障的机构职能体系。强化政府执行职责。深化政府权力清单制度，坚决消除权力设租寻租空间。创新执法体制，完善执法程序，推进综合执法，严格执法责任，建立权责统一、权威高效的依法行政体制。健全完善依法决策机制，依法科学界定政府及其部门的行政决策权，规范重大行政决策程序，把公众参与、专家论证、风险评估、合法性审查、集体讨论决定确定为重大行政决策法定程序，建立行政机关内部重大决策合法性审查机制，建立重大决策终身责任追究制度及责任倒查机制，积极推行政府法律顾问制度。强化对行政权力的制约与监督，完善政府内部层级监督和专门监督，保障审计部门依法独立行使审计监督职权，完善纠错问责机制。加强互联网政务信息数据服务平台和便民服务平台建设，努力形成科学有效的权力运行制约和监督体系。</w:t>
      </w:r>
    </w:p>
    <w:p w14:paraId="2D076879">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推进文明执法公正司法。完善政府行政执法管理，健全行政执法和刑事司法衔接机制，实现行政处罚和刑事处罚无缝对接，依法惩处各类违法行为。加大关系群众切身利益的重点领域执法力度。完善行政执法“三项制度”。建立健全行政裁量权基准制度。全面落实行政执法责任制，严格确定不同部门及机构、岗位执法人员执法责任和责任追究机制。依法化解行政争议，完成行政复议体制改革，充分发挥行政复议依法化解行政争议主渠道作用。着力推进司法体制改革，完善司法管理体制，优化司法职权运行机制，规范司法行为，树立司法权威，确保审判权和检察权依法独立行使，推进严格司法，构建开放、动态、透明、便民的阳光司法机制，加强人权司法保障，强化对司法活动的监督，建立和完善法律援助、司法救助体系。</w:t>
      </w:r>
    </w:p>
    <w:p w14:paraId="2E1F941B">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强法治宣传教育完善公共法律服务体系。弘扬社会主义法治精神，建设社会主义法治文化，增强全社会厉行法治的积极性和主动性。加强法治宣传教育，健全媒体公益普法制度，把民法典作为“十四五”时期普法工作重点，让民法典深入群众，推动和带动全社会养成学法、尊法、守法、用法良好风尚。充分发挥村规民约、镇（街道）民约、行业规章、社团章程等在推进社会治理中的积极作用。加快推进公共法律服务体系建设，建立以绥阳县法律服务中心为龙头，各镇（街道）法律服务工作站为重点，村（社区）法律服务工作室和村民组（居民小区）法律服务联络点为触角，法律服务综合信息平台为纽带，广大法律服务工作者为主体的城乡一体公共法律服务体系。畅通“12348”专线平台，实现“接受咨询零距离、受理案件零等待、援助对象零遗漏、服务质量零投诉”的“四个零”目标。开展公益性法律顾问、法律咨询、辩护、代理、公证等法律服务，促进城乡人民群众共享均衡法律服务。</w:t>
      </w:r>
    </w:p>
    <w:p w14:paraId="7F70B654">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——全面创新发展新时代“枫桥经验”， 加强人民调解组织建设，发挥优良作风，创新群众工作方法，善于运用法治思维和法治方式解决涉及群众切身利益的矛盾和问题。</w:t>
      </w:r>
    </w:p>
    <w:p w14:paraId="5CA9B07A">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加强新时代公安派出所建设。扎实推进公安派出所革命化现代化正规化建设，牢固树立大抓基层、大抓基础的导向，突出政治建警、改革强警、科技兴警、从严治警，以警务机制改革为动力，以创建“枫桥式公安派出所”活动为载体，推动重心下移、警力下沉、保障下倾，实现基础牢、出事少、治安好、党和人民满意的公安工作目标。按照“年终目标、年内落实，短期目标、规划推进，中期目标、提前谋划，终极目标，全面实现”的总体思路，分四个阶段推进全县新时代公安派出所建设工作，在未来五年内，实现公安部筑基、提质、赋能三大攻坚行动，不断优化完善派出所工作体制机制，实现派出所警务智能化、执法规范化、保障标准化、队伍正规化，让警力配置更加充实、警务运行更加高效、工作方式更加智能、执法执勤更加规范、警务保障更加有力、公安队伍建设更加过硬。</w:t>
      </w:r>
    </w:p>
    <w:p w14:paraId="74303627">
      <w:pPr>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322219F9">
      <w:pPr>
        <w:keepNext w:val="0"/>
        <w:keepLines w:val="0"/>
        <w:pageBreakBefore w:val="0"/>
        <w:widowControl w:val="0"/>
        <w:numPr>
          <w:ilvl w:val="0"/>
          <w:numId w:val="14"/>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80" w:name="_Toc28140"/>
      <w:r>
        <w:rPr>
          <w:rFonts w:hint="eastAsia" w:ascii="宋体" w:hAnsi="宋体" w:eastAsia="宋体" w:cs="宋体"/>
          <w:b/>
          <w:bCs/>
          <w:sz w:val="28"/>
          <w:szCs w:val="28"/>
        </w:rPr>
        <w:t>加快推进社会治理模式创新</w:t>
      </w:r>
      <w:bookmarkEnd w:id="80"/>
    </w:p>
    <w:p w14:paraId="52B17F2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——坚持和完善共建共治共享的社会治理制度，实施多层次的社会治理，加快构建政府、社会、企业、个人共同参与的高效社会治理体系。</w:t>
      </w:r>
      <w:r>
        <w:rPr>
          <w:rFonts w:hint="eastAsia" w:ascii="宋体" w:hAnsi="宋体" w:eastAsia="宋体" w:cs="宋体"/>
          <w:sz w:val="28"/>
          <w:szCs w:val="28"/>
        </w:rPr>
        <w:t>推进社会治理中心向基层下移，向基层放权赋能。坚持村民自治，推广“四议两公开”（党支部会提议、“两委”会商议、党员大会审议、村民代表会议或村民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"https://baike.baidu.com/item/%E4%BC%9A%E8%AE%AE%E5%86%B3%E8%AE%AE" \t "https://baike.baidu.com/item/%E2%80%9C%E5%9B%9B%E8%AE%AE%E4%B8%A4%E5%85%AC%E5%BC%80%E2%80%9D%E5%B7%A5%E4%BD%9C%E6%B3%95/_blank" </w:instrText>
      </w:r>
      <w:r>
        <w:rPr>
          <w:rFonts w:hint="eastAsia" w:ascii="宋体" w:hAnsi="宋体" w:eastAsia="宋体" w:cs="宋体"/>
          <w:sz w:val="28"/>
          <w:szCs w:val="28"/>
        </w:rPr>
        <w:fldChar w:fldCharType="separate"/>
      </w:r>
      <w:r>
        <w:rPr>
          <w:rFonts w:hint="eastAsia" w:ascii="宋体" w:hAnsi="宋体" w:eastAsia="宋体" w:cs="宋体"/>
          <w:sz w:val="28"/>
          <w:szCs w:val="28"/>
        </w:rPr>
        <w:t>会议决议</w:t>
      </w:r>
      <w:r>
        <w:rPr>
          <w:rFonts w:hint="eastAsia" w:ascii="宋体" w:hAnsi="宋体" w:eastAsia="宋体" w:cs="宋体"/>
          <w:sz w:val="28"/>
          <w:szCs w:val="28"/>
        </w:rPr>
        <w:fldChar w:fldCharType="end"/>
      </w:r>
      <w:r>
        <w:rPr>
          <w:rFonts w:hint="eastAsia" w:ascii="宋体" w:hAnsi="宋体" w:eastAsia="宋体" w:cs="宋体"/>
          <w:sz w:val="28"/>
          <w:szCs w:val="28"/>
        </w:rPr>
        <w:t>）工作法，大力培育服务性、公益性、互助性农村社会组织。强化以村民小组或自然村为基本单元的村民自治试点，探索创新实践农村社区治理模式、基层管理体制机制。建强农村基层组织，推进党支部标准化建设，持续整顿软弱涣散村党组织。选优配强基层党组织带头人，加强村后备干部队伍建设。加强农村法治建设。推进农村矛盾纠纷多元化解，以纵深推进扫黑除恶为抓手，严厉打击各类违法犯罪活动。实施乡村德治，发挥道德引领、规范、约束的内在作用，构建自治法治德治相结合的乡村治理体系。</w:t>
      </w:r>
      <w:r>
        <w:rPr>
          <w:rFonts w:hint="eastAsia" w:ascii="宋体" w:hAnsi="宋体" w:eastAsia="宋体" w:cs="宋体"/>
          <w:bCs/>
          <w:sz w:val="28"/>
          <w:szCs w:val="28"/>
        </w:rPr>
        <w:t>深入推进政府治理信息化智能化、城乡社区综合服务设施建设，加快完善社会信用体系、</w:t>
      </w:r>
      <w:r>
        <w:rPr>
          <w:rFonts w:hint="eastAsia" w:ascii="宋体" w:hAnsi="宋体" w:eastAsia="宋体" w:cs="宋体"/>
          <w:sz w:val="28"/>
          <w:szCs w:val="28"/>
        </w:rPr>
        <w:t>诚信褒奖机制和失信行为惩戒机制，</w:t>
      </w:r>
      <w:r>
        <w:rPr>
          <w:rFonts w:hint="eastAsia" w:ascii="宋体" w:hAnsi="宋体" w:eastAsia="宋体" w:cs="宋体"/>
          <w:bCs/>
          <w:sz w:val="28"/>
          <w:szCs w:val="28"/>
        </w:rPr>
        <w:t>推进“诚信绥阳”建设。</w:t>
      </w:r>
      <w:r>
        <w:rPr>
          <w:rFonts w:hint="eastAsia" w:ascii="宋体" w:hAnsi="宋体" w:eastAsia="宋体" w:cs="宋体"/>
          <w:sz w:val="28"/>
          <w:szCs w:val="28"/>
        </w:rPr>
        <w:t>创新社会治理专业化人才队伍建设政策。强化易地扶贫搬迁安置区社会治理。</w:t>
      </w:r>
    </w:p>
    <w:p w14:paraId="55279AC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城乡社区网格化管理和服务，大力培育发展与社会治理事务相关的社会组织，探索建立社区社会组织孵化基地机制。建立健全人民意见征集制度。创新完善科技支撑社会治理机制，建设社会治理智能化平台。推进数字化治理，依法推动政务数据共享，推进数字政府建设。创新数据价值化，提升数据应用服务水平。构建基层社会治理信息综合、指挥调度、联动处置的新型社会治理体系。</w:t>
      </w:r>
    </w:p>
    <w:p w14:paraId="50A40E57">
      <w:pPr>
        <w:pStyle w:val="5"/>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5A86A3B2">
      <w:pPr>
        <w:keepNext w:val="0"/>
        <w:keepLines w:val="0"/>
        <w:pageBreakBefore w:val="0"/>
        <w:widowControl w:val="0"/>
        <w:numPr>
          <w:ilvl w:val="0"/>
          <w:numId w:val="14"/>
        </w:numPr>
        <w:kinsoku/>
        <w:wordWrap/>
        <w:overflowPunct/>
        <w:topLinePunct w:val="0"/>
        <w:autoSpaceDE/>
        <w:autoSpaceDN/>
        <w:bidi w:val="0"/>
        <w:spacing w:line="520" w:lineRule="exact"/>
        <w:ind w:left="0" w:leftChars="0"/>
        <w:jc w:val="center"/>
        <w:textAlignment w:val="auto"/>
        <w:outlineLvl w:val="1"/>
        <w:rPr>
          <w:rFonts w:hint="eastAsia" w:ascii="宋体" w:hAnsi="宋体" w:eastAsia="宋体" w:cs="宋体"/>
          <w:b/>
          <w:bCs/>
          <w:sz w:val="28"/>
          <w:szCs w:val="28"/>
        </w:rPr>
      </w:pPr>
      <w:bookmarkStart w:id="81" w:name="_Toc18756"/>
      <w:r>
        <w:rPr>
          <w:rFonts w:hint="eastAsia" w:ascii="宋体" w:hAnsi="宋体" w:eastAsia="宋体" w:cs="宋体"/>
          <w:b/>
          <w:bCs/>
          <w:sz w:val="28"/>
          <w:szCs w:val="28"/>
        </w:rPr>
        <w:t>防范化解重大风险</w:t>
      </w:r>
      <w:bookmarkEnd w:id="81"/>
    </w:p>
    <w:p w14:paraId="287493C9">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升经济领域安全保障能力。加强经济安全风险预警、防控机制和能力建设。严格落实政府债务管理系列政策，健全地方政府债务管理机制，形成良性的可持续政府投资机制。要突出解决政府债务风险，认真落实“七严禁”和“八个一批”措施，统筹好“融、贷、借，转、用、还”行为，盘活各级各类存量资产，严格控制新增债务，有序化解存量债务，牢牢守住“不冒泡、不出事”的底线，坚决防止债务风险“爆雷”。要严密防范金融风险，严厉打击非法集资、高利贷、互联网金融诈骗等违规违法行为，加强金融风险隐患盘查摸底，牢牢守住不发生系统性金融风险的底线。</w:t>
      </w:r>
    </w:p>
    <w:p w14:paraId="33D22FA7">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升社会领域安全保障能力。防范化解社会领域重大风险，健全重大决策社会稳定风险评估制度，完善社会矛盾纠纷多元预防调处化解综合机制。积极构建“多元化化解矛盾、全时空守护平安、零距离服务群众”工作机制，真正把矛盾纠纷化解在萌芽、解决在基层，全力做好信访维稳工作。</w:t>
      </w:r>
    </w:p>
    <w:p w14:paraId="14455318">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立巩固安全隐患排查和安全预防控制体系，健全突发公共卫生事件社会预警机制和重大疫情响应机制，完善军地联动处置突发公共安全事件机制。切实防范生物安全、数据安全风险。防范化解地质灾害、自然灾害风险。加强乡镇微型消防应急救援物资站建设。健全防灾减灾救灾管理体制和运行机制，实施地质灾害避险移民工程，形成县乡村灾害应急救助体系，扎实开展全国自然灾害综合风险普查工作。保障人民生命财产安全，提高食品药品等关系人民健康产品和服务的安全保障水平，持续深入实施安全生产专项整治三年行动计划，加强“问题房开”研判处置，防范化解煤矿等领域安全生产重大风险，坚决遏制重特大事故发生。</w:t>
      </w:r>
    </w:p>
    <w:p w14:paraId="2AF09AFD">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应急处置能力。加强防灾减灾救灾工作，完善“政府领导、部门联动、社会参与”的减灾防灾工作机制，建立健全防灾减灾应急体系，提高突发公共卫生事件、重大疫情地质、气象等灾害的监测、预警、评估及信息发布能力，完善防灾减灾应急方案，加强突发公共卫生事件、重大疫情、自然灾害防灾减灾知识普及，增强群众防灾减灾意识，提高群众应对突发灾害能力。加强气象防灾减灾和应对气候变化，统筹推进综合气象观测站网、公共气象服务体系、现代农业发展气象保障、专业专项气象保障、人工影响天气作业体系、“一流气象站台”等建设。完善公共应急基础设施，配备先进的监测、预警、预报、决策等技术装备。</w:t>
      </w:r>
    </w:p>
    <w:p w14:paraId="6F4547CC">
      <w:pPr>
        <w:pStyle w:val="2"/>
        <w:keepNext w:val="0"/>
        <w:keepLines w:val="0"/>
        <w:pageBreakBefore w:val="0"/>
        <w:widowControl w:val="0"/>
        <w:kinsoku/>
        <w:wordWrap/>
        <w:overflowPunct/>
        <w:topLinePunct w:val="0"/>
        <w:autoSpaceDE/>
        <w:autoSpaceDN/>
        <w:bidi w:val="0"/>
        <w:spacing w:after="0" w:line="520" w:lineRule="exact"/>
        <w:ind w:left="0" w:leftChars="0"/>
        <w:textAlignment w:val="auto"/>
        <w:rPr>
          <w:rFonts w:hint="eastAsia" w:ascii="宋体" w:hAnsi="宋体" w:eastAsia="宋体" w:cs="宋体"/>
          <w:sz w:val="28"/>
          <w:szCs w:val="28"/>
        </w:rPr>
      </w:pPr>
    </w:p>
    <w:p w14:paraId="4D1DBEFA">
      <w:pPr>
        <w:pStyle w:val="5"/>
        <w:keepNext w:val="0"/>
        <w:keepLines w:val="0"/>
        <w:pageBreakBefore w:val="0"/>
        <w:widowControl w:val="0"/>
        <w:kinsoku/>
        <w:wordWrap/>
        <w:overflowPunct/>
        <w:topLinePunct w:val="0"/>
        <w:autoSpaceDE/>
        <w:autoSpaceDN/>
        <w:bidi w:val="0"/>
        <w:spacing w:line="520" w:lineRule="exact"/>
        <w:ind w:left="0"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专栏22 安全体系建设项目</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0"/>
      </w:tblGrid>
      <w:tr w14:paraId="4649CE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4FE527F2">
            <w:pPr>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绥阳县公安大数据动态感知系统、绥阳县派出所建设项目、绥阳县看守所建设项目、绥阳县拘留所建设项目、应急粮食（红梁）储备库及物流园建设项目、遵义黔北灾备数据中心、物资储备库建设项目、应急指挥中心建设项目、特种设备安全信息化监管及应急中心、电梯安全大数据智慧管理中心、安全生产监管智能化网络和专业化装备等建设工程。</w:t>
            </w:r>
          </w:p>
        </w:tc>
      </w:tr>
    </w:tbl>
    <w:p w14:paraId="57F7DD9F">
      <w:pPr>
        <w:pStyle w:val="5"/>
        <w:spacing w:line="520" w:lineRule="exact"/>
        <w:ind w:left="640" w:firstLine="600" w:firstLineChars="200"/>
        <w:rPr>
          <w:rFonts w:hint="eastAsia" w:ascii="宋体" w:hAnsi="宋体" w:eastAsia="宋体" w:cs="宋体"/>
          <w:sz w:val="30"/>
          <w:szCs w:val="30"/>
        </w:rPr>
      </w:pPr>
    </w:p>
    <w:p w14:paraId="1F600661">
      <w:pPr>
        <w:spacing w:line="520" w:lineRule="exact"/>
        <w:jc w:val="center"/>
        <w:outlineLvl w:val="0"/>
        <w:rPr>
          <w:rFonts w:hint="eastAsia" w:ascii="宋体" w:hAnsi="宋体" w:eastAsia="宋体" w:cs="宋体"/>
          <w:b/>
          <w:sz w:val="30"/>
          <w:szCs w:val="30"/>
        </w:rPr>
        <w:sectPr>
          <w:headerReference r:id="rId23" w:type="default"/>
          <w:pgSz w:w="8392" w:h="11850"/>
          <w:pgMar w:top="1247" w:right="879" w:bottom="1020" w:left="879" w:header="851" w:footer="992" w:gutter="0"/>
          <w:pgNumType w:fmt="decimal"/>
          <w:cols w:space="425" w:num="1"/>
          <w:rtlGutter w:val="0"/>
          <w:docGrid w:type="lines" w:linePitch="456" w:charSpace="0"/>
        </w:sectPr>
      </w:pPr>
    </w:p>
    <w:p w14:paraId="3B390793">
      <w:pPr>
        <w:spacing w:line="520" w:lineRule="exact"/>
        <w:jc w:val="center"/>
        <w:outlineLvl w:val="0"/>
        <w:rPr>
          <w:rFonts w:hint="eastAsia" w:ascii="宋体" w:hAnsi="宋体" w:eastAsia="宋体" w:cs="宋体"/>
          <w:b/>
          <w:bCs/>
          <w:sz w:val="36"/>
          <w:szCs w:val="36"/>
        </w:rPr>
      </w:pPr>
      <w:bookmarkStart w:id="82" w:name="_Toc26055"/>
      <w:r>
        <w:rPr>
          <w:rFonts w:hint="eastAsia" w:ascii="宋体" w:hAnsi="宋体" w:eastAsia="宋体" w:cs="宋体"/>
          <w:b/>
          <w:bCs/>
          <w:sz w:val="36"/>
          <w:szCs w:val="36"/>
        </w:rPr>
        <w:t>第十四章  全面加强党的领导，为县域经济高质量发展提供坚强保证</w:t>
      </w:r>
      <w:bookmarkEnd w:id="82"/>
    </w:p>
    <w:p w14:paraId="60D8BDE1">
      <w:pPr>
        <w:pStyle w:val="5"/>
        <w:ind w:left="640"/>
        <w:rPr>
          <w:rFonts w:hint="eastAsia" w:ascii="宋体" w:hAnsi="宋体" w:eastAsia="宋体" w:cs="宋体"/>
          <w:b/>
          <w:bCs/>
          <w:sz w:val="28"/>
          <w:szCs w:val="28"/>
        </w:rPr>
      </w:pPr>
    </w:p>
    <w:p w14:paraId="5422E304">
      <w:pPr>
        <w:keepNext w:val="0"/>
        <w:keepLines w:val="0"/>
        <w:pageBreakBefore w:val="0"/>
        <w:widowControl w:val="0"/>
        <w:numPr>
          <w:ilvl w:val="0"/>
          <w:numId w:val="15"/>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83" w:name="_Toc75"/>
      <w:r>
        <w:rPr>
          <w:rFonts w:hint="eastAsia" w:ascii="宋体" w:hAnsi="宋体" w:eastAsia="宋体" w:cs="宋体"/>
          <w:b/>
          <w:bCs/>
          <w:sz w:val="28"/>
          <w:szCs w:val="28"/>
        </w:rPr>
        <w:t>坚持和加强党的领导</w:t>
      </w:r>
      <w:bookmarkEnd w:id="83"/>
    </w:p>
    <w:p w14:paraId="08CA6C3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现“十四五”规划和二〇三五年远景目标，必须坚持党的全面领导，广泛凝聚各方力量，形成推动发展的强大合力。贯彻党把方向、谋大局、定政策、促改革的要求，深入学习贯彻习近平新时代中国特色社会主义思想，坚决落实习近平总书记对贵州、遵义工作重要指示精神，树牢“四个意识”，坚定“四个自信”，做到“两个维护”，完善上下贯通、执行有力的组织体系，确保党中央和省委、市委、县委决策部署有效落实，确保“十四五”规划的顺利实施。</w:t>
      </w:r>
    </w:p>
    <w:p w14:paraId="221A7703">
      <w:pPr>
        <w:pStyle w:val="5"/>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05D8C6CE">
      <w:pPr>
        <w:keepNext w:val="0"/>
        <w:keepLines w:val="0"/>
        <w:pageBreakBefore w:val="0"/>
        <w:widowControl w:val="0"/>
        <w:numPr>
          <w:ilvl w:val="0"/>
          <w:numId w:val="15"/>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84" w:name="_Toc11651"/>
      <w:r>
        <w:rPr>
          <w:rFonts w:hint="eastAsia" w:ascii="宋体" w:hAnsi="宋体" w:eastAsia="宋体" w:cs="宋体"/>
          <w:b/>
          <w:bCs/>
          <w:sz w:val="28"/>
          <w:szCs w:val="28"/>
        </w:rPr>
        <w:t>完善规划落实机制</w:t>
      </w:r>
      <w:bookmarkEnd w:id="84"/>
    </w:p>
    <w:p w14:paraId="616CA69F">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规划对经济社会发展的引领作用，通过履行政府职能，完善规划实施和评估监督机制，保障规划明确的目标任务顺利完成。加强相关规划的有机衔接。按照下级规划服从上级规划、区域规划和专项规划服从总体规划的要求，完善规划体系，协调推进规划落实。加强经济社会发展规划、城市总体规划、国土空间规划之间的衔接配合和“多规融合”，确保在总体要求上指向一致，在空间配置上相互协调，在时序安排上科学有序，不断提高规划的管理水平和实施成效。</w:t>
      </w:r>
    </w:p>
    <w:p w14:paraId="687378DA">
      <w:pPr>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b/>
          <w:bCs/>
          <w:sz w:val="28"/>
          <w:szCs w:val="28"/>
        </w:rPr>
      </w:pPr>
    </w:p>
    <w:p w14:paraId="18707253">
      <w:pPr>
        <w:keepNext w:val="0"/>
        <w:keepLines w:val="0"/>
        <w:pageBreakBefore w:val="0"/>
        <w:widowControl w:val="0"/>
        <w:numPr>
          <w:ilvl w:val="0"/>
          <w:numId w:val="15"/>
        </w:numPr>
        <w:kinsoku/>
        <w:wordWrap/>
        <w:overflowPunct/>
        <w:topLinePunct w:val="0"/>
        <w:autoSpaceDE/>
        <w:autoSpaceDN/>
        <w:bidi w:val="0"/>
        <w:adjustRightInd w:val="0"/>
        <w:snapToGrid w:val="0"/>
        <w:spacing w:line="520" w:lineRule="exact"/>
        <w:ind w:left="0" w:leftChars="0"/>
        <w:jc w:val="center"/>
        <w:textAlignment w:val="auto"/>
        <w:outlineLvl w:val="1"/>
        <w:rPr>
          <w:rFonts w:hint="eastAsia" w:ascii="宋体" w:hAnsi="宋体" w:eastAsia="宋体" w:cs="宋体"/>
          <w:b/>
          <w:bCs/>
          <w:sz w:val="28"/>
          <w:szCs w:val="28"/>
        </w:rPr>
      </w:pPr>
      <w:bookmarkStart w:id="85" w:name="_Toc2239"/>
      <w:r>
        <w:rPr>
          <w:rFonts w:hint="eastAsia" w:ascii="宋体" w:hAnsi="宋体" w:eastAsia="宋体" w:cs="宋体"/>
          <w:b/>
          <w:bCs/>
          <w:sz w:val="28"/>
          <w:szCs w:val="28"/>
        </w:rPr>
        <w:t>强化项目支撑及要素保障</w:t>
      </w:r>
      <w:bookmarkEnd w:id="85"/>
    </w:p>
    <w:p w14:paraId="1F37FD09">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项目建设与实施。充分发挥投资对经济增长的拉动作用，深化投融资改革，加大招商引资力度，围绕基础设施、产业、民生等领域，谋划、实施一批带动作用强、示范效应好、关联度大的重大项目和示范性工程，不断完善“十四五”规划项目库建设。按照“续建项目抓投产、在建项目抓进度、开工项目抓保障、前期项目抓落地”的要求，扎实推进重点工程项目建设，建立和完善项目咨询评估、审议决策制度，强化对项目施工进度、建设质量、项目验收及安全情况等的监督管理，确保重大项目顺利实施。</w:t>
      </w:r>
    </w:p>
    <w:p w14:paraId="3B19FB8C">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强化项目前期工作和要素保障。简化项目审批程序，增强服务意识，提高服务效率。全面提高行政服务效能，实行简单便捷的审批制度，严格控制审批时限。建立重点项目建设绿色通道，对于重大项目实行连审连批及领导分包机制，在土地供应、环评手续、资金保障等方面给予支持，加快项目审批落地、投产达效。</w:t>
      </w:r>
    </w:p>
    <w:p w14:paraId="12792F85">
      <w:pPr>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sz w:val="28"/>
          <w:szCs w:val="28"/>
        </w:rPr>
      </w:pPr>
    </w:p>
    <w:p w14:paraId="534B8650">
      <w:pPr>
        <w:keepNext w:val="0"/>
        <w:keepLines w:val="0"/>
        <w:pageBreakBefore w:val="0"/>
        <w:widowControl w:val="0"/>
        <w:numPr>
          <w:ilvl w:val="0"/>
          <w:numId w:val="15"/>
        </w:numPr>
        <w:kinsoku/>
        <w:wordWrap/>
        <w:overflowPunct/>
        <w:topLinePunct w:val="0"/>
        <w:autoSpaceDE/>
        <w:autoSpaceDN/>
        <w:bidi w:val="0"/>
        <w:adjustRightInd w:val="0"/>
        <w:snapToGrid w:val="0"/>
        <w:spacing w:line="520" w:lineRule="exact"/>
        <w:ind w:left="0" w:leftChars="0" w:firstLine="562" w:firstLineChars="200"/>
        <w:jc w:val="center"/>
        <w:textAlignment w:val="auto"/>
        <w:outlineLvl w:val="1"/>
        <w:rPr>
          <w:rFonts w:hint="eastAsia" w:ascii="宋体" w:hAnsi="宋体" w:eastAsia="宋体" w:cs="宋体"/>
          <w:b/>
          <w:bCs/>
          <w:sz w:val="28"/>
          <w:szCs w:val="28"/>
        </w:rPr>
      </w:pPr>
      <w:bookmarkStart w:id="86" w:name="_Toc722"/>
      <w:r>
        <w:rPr>
          <w:rFonts w:hint="eastAsia" w:ascii="宋体" w:hAnsi="宋体" w:eastAsia="宋体" w:cs="宋体"/>
          <w:b/>
          <w:bCs/>
          <w:sz w:val="28"/>
          <w:szCs w:val="28"/>
        </w:rPr>
        <w:t>健全评估监督机制</w:t>
      </w:r>
      <w:bookmarkEnd w:id="86"/>
    </w:p>
    <w:p w14:paraId="7F26E5FE">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立和实行规划目标责任制。明确政府职责，加强规划实施的组织落实。分解规划目标和任务，明确各部门工作责任，并纳入各级、各部门经济社会发展综合评价和绩效考核体系。强化部门和干部的绩效考核，完善目标、业绩、过错“三位一体”考核体系，强化组织协调、督促检查、考核奖惩。</w:t>
      </w:r>
    </w:p>
    <w:p w14:paraId="22FA24D2">
      <w:pPr>
        <w:pStyle w:val="5"/>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觉接受县人大、县政协和社会各界对《规划纲要》实施的监督检查。扎实做好《规划纲要》实施的中期评估、五年总结评估和年度实施计划，及时反映纲要实施进展情况。对规划执行中出现的新情况、新问题，及时采取相应对策措施，提出调整和修改意见。经中期评估需要对规划进行修订时，由规划编制主管部门提出调整方案的议案，报县政府同意后，提请县人大常委会审议批准后实施。进一步完善规划实施的公众参与和民主监督机制，及时、客观地公开规划实施的相关信息，接受全社会监督。</w:t>
      </w:r>
    </w:p>
    <w:sectPr>
      <w:headerReference r:id="rId24" w:type="default"/>
      <w:pgSz w:w="8392" w:h="11850"/>
      <w:pgMar w:top="1247" w:right="879" w:bottom="1020" w:left="879" w:header="851" w:footer="992" w:gutter="0"/>
      <w:pgNumType w:fmt="decimal"/>
      <w:cols w:space="425" w:num="1"/>
      <w:rtlGutter w:val="0"/>
      <w:docGrid w:type="lines" w:linePitch="45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52AB">
    <w:pPr>
      <w:tabs>
        <w:tab w:val="center" w:pos="4153"/>
        <w:tab w:val="right" w:pos="8306"/>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11291">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511291">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9A03">
    <w:pPr>
      <w:tabs>
        <w:tab w:val="center" w:pos="4153"/>
        <w:tab w:val="right" w:pos="8306"/>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5F5AC">
                          <w:pPr>
                            <w:tabs>
                              <w:tab w:val="center" w:pos="4153"/>
                              <w:tab w:val="right" w:pos="8306"/>
                            </w:tabs>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25F5AC">
                    <w:pPr>
                      <w:tabs>
                        <w:tab w:val="center" w:pos="4153"/>
                        <w:tab w:val="right" w:pos="8306"/>
                      </w:tabs>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6D91">
    <w:pPr>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1394F">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E1394F">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p w14:paraId="6DFB2149">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3EFF">
    <w:pPr>
      <w:tabs>
        <w:tab w:val="center" w:pos="4153"/>
        <w:tab w:val="right" w:pos="8306"/>
      </w:tabs>
    </w:pPr>
  </w:p>
  <w:p w14:paraId="46B8E6ED">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8AF26F4">
                          <w:pPr>
                            <w:tabs>
                              <w:tab w:val="center" w:pos="4153"/>
                              <w:tab w:val="right" w:pos="8306"/>
                            </w:tabs>
                            <w:rPr>
                              <w:rStyle w:val="20"/>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Style w:val="20"/>
                              <w:rFonts w:hint="eastAsia" w:asciiTheme="minorEastAsia" w:hAnsiTheme="minorEastAsia" w:cstheme="minorEastAsia"/>
                              <w:sz w:val="28"/>
                              <w:szCs w:val="28"/>
                            </w:rPr>
                            <w:instrText xml:space="preserve">PAGE  </w:instrText>
                          </w:r>
                          <w:r>
                            <w:rPr>
                              <w:rFonts w:hint="eastAsia" w:asciiTheme="minorEastAsia" w:hAnsiTheme="minorEastAsia" w:cstheme="minorEastAsia"/>
                              <w:sz w:val="28"/>
                              <w:szCs w:val="28"/>
                            </w:rPr>
                            <w:fldChar w:fldCharType="separate"/>
                          </w:r>
                          <w:r>
                            <w:rPr>
                              <w:rStyle w:val="20"/>
                              <w:rFonts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ExiZj/VAQAAsAMAAA4AAABkcnMvZTJvRG9jLnhtbK1TzY7TMBC+&#10;I/EOlu80aaVFJWq6AlWLkBAgLfsArjNpLPlPHrdJXwDegBMX7jxXn4Oxk3TRctkDF2f+/M18nyeb&#10;28FodoKAytmaLxclZ2Cla5Q91Pzh692rNWcYhW2EdhZqfgbkt9uXLza9r2DlOqcbCIxALFa9r3kX&#10;o6+KAmUHRuDCebCUbF0wIpIbDkUTRE/oRhersnxd9C40PjgJiBTdjUk+IYbnALq2VRJ2Th4N2Dii&#10;BtAiEiXslEe+zdO2Lcj4uW0RItM1J6Yxn9SE7H06i+1GVIcgfKfkNIJ4zghPOBmhLDW9Qu1EFOwY&#10;1D9QRsng0LVxIZ0pRiJZEWKxLJ9oc98JD5kLSY3+Kjr+P1j56fQlMNXQJnBmhaEHv/z4fvn5+/Lr&#10;G1smeXqPFVXde6qLwzs3pNIpjhRMrIc2mPQlPozyJO75Ki4Mkcl0ab1ar0tKScrNDuEUj9d9wPge&#10;nGHJqHmg18uiitNHjGPpXJK6WXentKa4qLRlfc3f3Kxu8oVrhsC1TQWQd2GCSZTG0ZMVh/0w8dm7&#10;5kw0e9qHmltaf870B0typ9WZjTAb+9k4+qAOXd6t1Av922Ok2fLIqcMIS1STQw+ZSU9Llzblbz9X&#10;Pf5o2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9IGNa0wAAAAgBAAAPAAAAAAAAAAEAIAAAACIA&#10;AABkcnMvZG93bnJldi54bWxQSwECFAAUAAAACACHTuJATGJmP9UBAACwAwAADgAAAAAAAAABACAA&#10;AAAiAQAAZHJzL2Uyb0RvYy54bWxQSwUGAAAAAAYABgBZAQAAaQUAAAAA&#10;">
              <v:fill on="f" focussize="0,0"/>
              <v:stroke on="f"/>
              <v:imagedata o:title=""/>
              <o:lock v:ext="edit" aspectratio="f"/>
              <v:textbox inset="0mm,0mm,0mm,0mm" style="mso-fit-shape-to-text:t;">
                <w:txbxContent>
                  <w:p w14:paraId="48AF26F4">
                    <w:pPr>
                      <w:tabs>
                        <w:tab w:val="center" w:pos="4153"/>
                        <w:tab w:val="right" w:pos="8306"/>
                      </w:tabs>
                      <w:rPr>
                        <w:rStyle w:val="20"/>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Style w:val="20"/>
                        <w:rFonts w:hint="eastAsia" w:asciiTheme="minorEastAsia" w:hAnsiTheme="minorEastAsia" w:cstheme="minorEastAsia"/>
                        <w:sz w:val="28"/>
                        <w:szCs w:val="28"/>
                      </w:rPr>
                      <w:instrText xml:space="preserve">PAGE  </w:instrText>
                    </w:r>
                    <w:r>
                      <w:rPr>
                        <w:rFonts w:hint="eastAsia" w:asciiTheme="minorEastAsia" w:hAnsiTheme="minorEastAsia" w:cstheme="minorEastAsia"/>
                        <w:sz w:val="28"/>
                        <w:szCs w:val="28"/>
                      </w:rPr>
                      <w:fldChar w:fldCharType="separate"/>
                    </w:r>
                    <w:r>
                      <w:rPr>
                        <w:rStyle w:val="20"/>
                        <w:rFonts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35AE">
    <w:pPr>
      <w:pStyle w:val="10"/>
      <w:rPr>
        <w:rFonts w:hint="eastAsia" w:eastAsia="仿宋_GB2312"/>
        <w:b/>
        <w:bCs/>
        <w:w w:val="85"/>
        <w:sz w:val="24"/>
        <w:szCs w:val="24"/>
        <w:lang w:eastAsia="zh-CN"/>
      </w:rPr>
    </w:pPr>
    <w:r>
      <w:rPr>
        <w:rFonts w:hint="eastAsia"/>
        <w:b/>
        <w:bCs/>
        <w:w w:val="85"/>
        <w:sz w:val="24"/>
        <w:szCs w:val="24"/>
        <w:lang w:eastAsia="zh-CN"/>
      </w:rPr>
      <w:t>绥阳县国民经济和社会发展第十四个五年规划和二〇三五年远景目标纲要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77D5">
    <w:pPr>
      <w:pStyle w:val="10"/>
      <w:rPr>
        <w:rFonts w:hint="default" w:eastAsia="仿宋_GB2312"/>
        <w:b/>
        <w:bCs/>
        <w:sz w:val="24"/>
        <w:szCs w:val="24"/>
        <w:lang w:val="en-US" w:eastAsia="zh-CN"/>
      </w:rPr>
    </w:pPr>
    <w:r>
      <w:rPr>
        <w:rFonts w:hint="eastAsia"/>
        <w:b/>
        <w:bCs/>
        <w:sz w:val="24"/>
        <w:szCs w:val="24"/>
        <w:lang w:val="en-US" w:eastAsia="zh-CN"/>
      </w:rPr>
      <w:t>第六章  大力推进旅游产业化，推动“旅游+”融合发展新突破</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9FFF">
    <w:pPr>
      <w:pStyle w:val="10"/>
      <w:rPr>
        <w:rFonts w:hint="default" w:eastAsia="仿宋_GB2312"/>
        <w:b/>
        <w:bCs/>
        <w:sz w:val="24"/>
        <w:szCs w:val="24"/>
        <w:lang w:val="en-US" w:eastAsia="zh-CN"/>
      </w:rPr>
    </w:pPr>
    <w:r>
      <w:rPr>
        <w:rFonts w:hint="eastAsia"/>
        <w:b/>
        <w:bCs/>
        <w:sz w:val="24"/>
        <w:szCs w:val="24"/>
        <w:lang w:val="en-US" w:eastAsia="zh-CN"/>
      </w:rPr>
      <w:t>第七章  坚持创新驱动发展，着力激发高质量发展新动能</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DFE41">
    <w:pPr>
      <w:pStyle w:val="10"/>
      <w:rPr>
        <w:rFonts w:hint="default" w:eastAsia="仿宋_GB2312"/>
        <w:b/>
        <w:bCs/>
        <w:w w:val="85"/>
        <w:sz w:val="24"/>
        <w:szCs w:val="24"/>
        <w:lang w:val="en-US" w:eastAsia="zh-CN"/>
      </w:rPr>
    </w:pPr>
    <w:r>
      <w:rPr>
        <w:rFonts w:hint="eastAsia"/>
        <w:b/>
        <w:bCs/>
        <w:w w:val="85"/>
        <w:sz w:val="24"/>
        <w:szCs w:val="24"/>
        <w:lang w:val="en-US" w:eastAsia="zh-CN"/>
      </w:rPr>
      <w:t>第八章  坚持生态优先绿色发展，在不断实践中续写“两山论”新篇章</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86B2">
    <w:pPr>
      <w:pStyle w:val="10"/>
      <w:rPr>
        <w:rFonts w:hint="default" w:eastAsia="仿宋_GB2312"/>
        <w:b/>
        <w:bCs/>
        <w:sz w:val="24"/>
        <w:szCs w:val="24"/>
        <w:lang w:val="en-US" w:eastAsia="zh-CN"/>
      </w:rPr>
    </w:pPr>
    <w:r>
      <w:rPr>
        <w:rFonts w:hint="eastAsia"/>
        <w:b/>
        <w:bCs/>
        <w:sz w:val="24"/>
        <w:szCs w:val="24"/>
        <w:lang w:val="en-US" w:eastAsia="zh-CN"/>
      </w:rPr>
      <w:t>第九章  坚持实施开放带动战略，主动融入成渝地区双城经济圈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8F77">
    <w:pPr>
      <w:pStyle w:val="10"/>
      <w:rPr>
        <w:rFonts w:hint="default" w:eastAsia="仿宋_GB2312"/>
        <w:b/>
        <w:bCs/>
        <w:sz w:val="24"/>
        <w:szCs w:val="24"/>
        <w:lang w:val="en-US" w:eastAsia="zh-CN"/>
      </w:rPr>
    </w:pPr>
    <w:r>
      <w:rPr>
        <w:rFonts w:hint="eastAsia"/>
        <w:b/>
        <w:bCs/>
        <w:sz w:val="24"/>
        <w:szCs w:val="24"/>
        <w:lang w:val="en-US" w:eastAsia="zh-CN"/>
      </w:rPr>
      <w:t>第十章  强力推进基础设施建设，改善经济社会发展条件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94CF">
    <w:pPr>
      <w:pStyle w:val="10"/>
      <w:rPr>
        <w:rFonts w:hint="default" w:eastAsia="仿宋_GB2312"/>
        <w:b/>
        <w:bCs/>
        <w:sz w:val="24"/>
        <w:szCs w:val="24"/>
        <w:lang w:val="en-US" w:eastAsia="zh-CN"/>
      </w:rPr>
    </w:pPr>
    <w:r>
      <w:rPr>
        <w:rFonts w:hint="eastAsia"/>
        <w:b/>
        <w:bCs/>
        <w:sz w:val="24"/>
        <w:szCs w:val="24"/>
        <w:lang w:val="en-US" w:eastAsia="zh-CN"/>
      </w:rPr>
      <w:t>第十一章  大力发展现代服务业，促进消费扩容提质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A7ACC">
    <w:pPr>
      <w:pStyle w:val="10"/>
      <w:rPr>
        <w:rFonts w:hint="default" w:eastAsia="仿宋_GB2312"/>
        <w:b/>
        <w:bCs/>
        <w:w w:val="88"/>
        <w:sz w:val="24"/>
        <w:szCs w:val="24"/>
        <w:lang w:val="en-US" w:eastAsia="zh-CN"/>
      </w:rPr>
    </w:pPr>
    <w:r>
      <w:rPr>
        <w:rFonts w:hint="eastAsia"/>
        <w:b/>
        <w:bCs/>
        <w:w w:val="88"/>
        <w:sz w:val="24"/>
        <w:szCs w:val="24"/>
        <w:lang w:val="en-US" w:eastAsia="zh-CN"/>
      </w:rPr>
      <w:t>第十二章  坚持发展成果共享，不断满足人民群众对美好生活的新期待</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843E">
    <w:pPr>
      <w:pStyle w:val="10"/>
      <w:rPr>
        <w:rFonts w:hint="default" w:eastAsia="仿宋_GB2312"/>
        <w:b/>
        <w:bCs/>
        <w:sz w:val="24"/>
        <w:szCs w:val="24"/>
        <w:lang w:val="en-US" w:eastAsia="zh-CN"/>
      </w:rPr>
    </w:pPr>
    <w:r>
      <w:rPr>
        <w:rFonts w:hint="eastAsia"/>
        <w:b/>
        <w:bCs/>
        <w:sz w:val="24"/>
        <w:szCs w:val="24"/>
        <w:lang w:val="en-US" w:eastAsia="zh-CN"/>
      </w:rPr>
      <w:t>第十三章  统筹发展和安全，营造高质量发展良好环境</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57AE">
    <w:pPr>
      <w:pStyle w:val="10"/>
      <w:rPr>
        <w:rFonts w:hint="default" w:eastAsia="仿宋_GB2312"/>
        <w:b/>
        <w:bCs/>
        <w:w w:val="92"/>
        <w:sz w:val="24"/>
        <w:szCs w:val="24"/>
        <w:lang w:val="en-US" w:eastAsia="zh-CN"/>
      </w:rPr>
    </w:pPr>
    <w:r>
      <w:rPr>
        <w:rFonts w:hint="eastAsia"/>
        <w:b/>
        <w:bCs/>
        <w:w w:val="92"/>
        <w:sz w:val="24"/>
        <w:szCs w:val="24"/>
        <w:lang w:val="en-US" w:eastAsia="zh-CN"/>
      </w:rPr>
      <w:t>第十四章  全面加强党的领导，为县域经济高质量发展提供坚强保证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F209">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C97C4">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394C">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4AA1">
    <w:pPr>
      <w:pStyle w:val="10"/>
      <w:rPr>
        <w:rFonts w:hint="default" w:eastAsia="仿宋_GB2312"/>
        <w:b/>
        <w:bCs/>
        <w:sz w:val="24"/>
        <w:szCs w:val="24"/>
        <w:lang w:val="en-US" w:eastAsia="zh-CN"/>
      </w:rPr>
    </w:pPr>
    <w:r>
      <w:rPr>
        <w:rFonts w:hint="eastAsia"/>
        <w:b/>
        <w:bCs/>
        <w:sz w:val="24"/>
        <w:szCs w:val="24"/>
        <w:lang w:val="en-US" w:eastAsia="zh-CN"/>
      </w:rPr>
      <w:t>第一章  “十三五”时期我县经济社会发展取得历史性成就</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A1BA">
    <w:pPr>
      <w:pStyle w:val="10"/>
      <w:rPr>
        <w:rFonts w:hint="default" w:eastAsia="仿宋_GB2312"/>
        <w:b/>
        <w:bCs/>
        <w:sz w:val="24"/>
        <w:szCs w:val="24"/>
        <w:lang w:val="en-US" w:eastAsia="zh-CN"/>
      </w:rPr>
    </w:pPr>
    <w:r>
      <w:rPr>
        <w:rFonts w:hint="eastAsia"/>
        <w:b/>
        <w:bCs/>
        <w:sz w:val="24"/>
        <w:szCs w:val="24"/>
        <w:lang w:val="en-US" w:eastAsia="zh-CN"/>
      </w:rPr>
      <w:t>第二章  形势任务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77D1">
    <w:pPr>
      <w:pStyle w:val="10"/>
      <w:rPr>
        <w:rFonts w:hint="default" w:eastAsia="仿宋_GB2312"/>
        <w:b/>
        <w:bCs/>
        <w:sz w:val="24"/>
        <w:szCs w:val="24"/>
        <w:lang w:val="en-US" w:eastAsia="zh-CN"/>
      </w:rPr>
    </w:pPr>
    <w:r>
      <w:rPr>
        <w:rFonts w:hint="eastAsia"/>
        <w:b/>
        <w:bCs/>
        <w:sz w:val="24"/>
        <w:szCs w:val="24"/>
        <w:lang w:val="en-US" w:eastAsia="zh-CN"/>
      </w:rPr>
      <w:t>第三章  大力推进新型工业化，加快发展现代产业体系</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BA79">
    <w:pPr>
      <w:pStyle w:val="10"/>
      <w:rPr>
        <w:rFonts w:hint="default" w:eastAsia="仿宋_GB2312"/>
        <w:b/>
        <w:bCs/>
        <w:sz w:val="24"/>
        <w:szCs w:val="24"/>
        <w:lang w:val="en-US" w:eastAsia="zh-CN"/>
      </w:rPr>
    </w:pPr>
    <w:r>
      <w:rPr>
        <w:rFonts w:hint="eastAsia"/>
        <w:b/>
        <w:bCs/>
        <w:sz w:val="24"/>
        <w:szCs w:val="24"/>
        <w:lang w:val="en-US" w:eastAsia="zh-CN"/>
      </w:rPr>
      <w:t>第四章  大力推进新型城镇化，加快与主城区融合发展步伐</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9D9E">
    <w:pPr>
      <w:pStyle w:val="10"/>
      <w:rPr>
        <w:rFonts w:hint="default" w:eastAsia="仿宋_GB2312"/>
        <w:b/>
        <w:bCs/>
        <w:sz w:val="24"/>
        <w:szCs w:val="24"/>
        <w:lang w:val="en-US" w:eastAsia="zh-CN"/>
      </w:rPr>
    </w:pPr>
    <w:r>
      <w:rPr>
        <w:rFonts w:hint="eastAsia"/>
        <w:b/>
        <w:bCs/>
        <w:sz w:val="24"/>
        <w:szCs w:val="24"/>
        <w:lang w:val="en-US" w:eastAsia="zh-CN"/>
      </w:rPr>
      <w:t>第五章  大力推进农业农村现代化，深入实施乡村振兴战略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7FE0C"/>
    <w:multiLevelType w:val="singleLevel"/>
    <w:tmpl w:val="8E57FE0C"/>
    <w:lvl w:ilvl="0" w:tentative="0">
      <w:start w:val="8"/>
      <w:numFmt w:val="chineseCounting"/>
      <w:suff w:val="space"/>
      <w:lvlText w:val="第%1章"/>
      <w:lvlJc w:val="left"/>
      <w:rPr>
        <w:rFonts w:hint="eastAsia"/>
      </w:rPr>
    </w:lvl>
  </w:abstractNum>
  <w:abstractNum w:abstractNumId="1">
    <w:nsid w:val="90BFF0F7"/>
    <w:multiLevelType w:val="singleLevel"/>
    <w:tmpl w:val="90BFF0F7"/>
    <w:lvl w:ilvl="0" w:tentative="0">
      <w:start w:val="1"/>
      <w:numFmt w:val="chineseCounting"/>
      <w:suff w:val="space"/>
      <w:lvlText w:val="第%1节"/>
      <w:lvlJc w:val="left"/>
      <w:rPr>
        <w:rFonts w:hint="eastAsia"/>
      </w:rPr>
    </w:lvl>
  </w:abstractNum>
  <w:abstractNum w:abstractNumId="2">
    <w:nsid w:val="A6D3D22E"/>
    <w:multiLevelType w:val="singleLevel"/>
    <w:tmpl w:val="A6D3D22E"/>
    <w:lvl w:ilvl="0" w:tentative="0">
      <w:start w:val="1"/>
      <w:numFmt w:val="chineseCounting"/>
      <w:suff w:val="space"/>
      <w:lvlText w:val="第%1节"/>
      <w:lvlJc w:val="left"/>
      <w:rPr>
        <w:rFonts w:hint="eastAsia"/>
      </w:rPr>
    </w:lvl>
  </w:abstractNum>
  <w:abstractNum w:abstractNumId="3">
    <w:nsid w:val="B37559DD"/>
    <w:multiLevelType w:val="singleLevel"/>
    <w:tmpl w:val="B37559DD"/>
    <w:lvl w:ilvl="0" w:tentative="0">
      <w:start w:val="2"/>
      <w:numFmt w:val="chineseCounting"/>
      <w:suff w:val="space"/>
      <w:lvlText w:val="第%1节"/>
      <w:lvlJc w:val="left"/>
      <w:rPr>
        <w:rFonts w:hint="eastAsia"/>
      </w:rPr>
    </w:lvl>
  </w:abstractNum>
  <w:abstractNum w:abstractNumId="4">
    <w:nsid w:val="B3837508"/>
    <w:multiLevelType w:val="singleLevel"/>
    <w:tmpl w:val="B3837508"/>
    <w:lvl w:ilvl="0" w:tentative="0">
      <w:start w:val="4"/>
      <w:numFmt w:val="chineseCounting"/>
      <w:suff w:val="space"/>
      <w:lvlText w:val="第%1章"/>
      <w:lvlJc w:val="left"/>
      <w:rPr>
        <w:rFonts w:hint="eastAsia"/>
      </w:rPr>
    </w:lvl>
  </w:abstractNum>
  <w:abstractNum w:abstractNumId="5">
    <w:nsid w:val="C13F7CAA"/>
    <w:multiLevelType w:val="singleLevel"/>
    <w:tmpl w:val="C13F7CAA"/>
    <w:lvl w:ilvl="0" w:tentative="0">
      <w:start w:val="1"/>
      <w:numFmt w:val="chineseCounting"/>
      <w:suff w:val="space"/>
      <w:lvlText w:val="第%1节"/>
      <w:lvlJc w:val="left"/>
      <w:rPr>
        <w:rFonts w:hint="eastAsia"/>
      </w:rPr>
    </w:lvl>
  </w:abstractNum>
  <w:abstractNum w:abstractNumId="6">
    <w:nsid w:val="ECF361BF"/>
    <w:multiLevelType w:val="singleLevel"/>
    <w:tmpl w:val="ECF361BF"/>
    <w:lvl w:ilvl="0" w:tentative="0">
      <w:start w:val="1"/>
      <w:numFmt w:val="chineseCounting"/>
      <w:suff w:val="space"/>
      <w:lvlText w:val="第%1节"/>
      <w:lvlJc w:val="left"/>
      <w:rPr>
        <w:rFonts w:hint="eastAsia"/>
      </w:rPr>
    </w:lvl>
  </w:abstractNum>
  <w:abstractNum w:abstractNumId="7">
    <w:nsid w:val="0073D386"/>
    <w:multiLevelType w:val="singleLevel"/>
    <w:tmpl w:val="0073D386"/>
    <w:lvl w:ilvl="0" w:tentative="0">
      <w:start w:val="1"/>
      <w:numFmt w:val="chineseCounting"/>
      <w:suff w:val="space"/>
      <w:lvlText w:val="第%1节"/>
      <w:lvlJc w:val="left"/>
      <w:rPr>
        <w:rFonts w:hint="eastAsia"/>
      </w:rPr>
    </w:lvl>
  </w:abstractNum>
  <w:abstractNum w:abstractNumId="8">
    <w:nsid w:val="254F7475"/>
    <w:multiLevelType w:val="singleLevel"/>
    <w:tmpl w:val="254F7475"/>
    <w:lvl w:ilvl="0" w:tentative="0">
      <w:start w:val="1"/>
      <w:numFmt w:val="chineseCounting"/>
      <w:suff w:val="space"/>
      <w:lvlText w:val="第%1节"/>
      <w:lvlJc w:val="left"/>
      <w:rPr>
        <w:rFonts w:hint="eastAsia"/>
      </w:rPr>
    </w:lvl>
  </w:abstractNum>
  <w:abstractNum w:abstractNumId="9">
    <w:nsid w:val="265216A3"/>
    <w:multiLevelType w:val="singleLevel"/>
    <w:tmpl w:val="265216A3"/>
    <w:lvl w:ilvl="0" w:tentative="0">
      <w:start w:val="2"/>
      <w:numFmt w:val="chineseCounting"/>
      <w:suff w:val="space"/>
      <w:lvlText w:val="第%1节"/>
      <w:lvlJc w:val="left"/>
      <w:rPr>
        <w:rFonts w:hint="eastAsia"/>
      </w:rPr>
    </w:lvl>
  </w:abstractNum>
  <w:abstractNum w:abstractNumId="10">
    <w:nsid w:val="4D6862AB"/>
    <w:multiLevelType w:val="multilevel"/>
    <w:tmpl w:val="4D6862AB"/>
    <w:lvl w:ilvl="0" w:tentative="0">
      <w:start w:val="4"/>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553B39"/>
    <w:multiLevelType w:val="singleLevel"/>
    <w:tmpl w:val="52553B39"/>
    <w:lvl w:ilvl="0" w:tentative="0">
      <w:start w:val="1"/>
      <w:numFmt w:val="chineseCounting"/>
      <w:suff w:val="space"/>
      <w:lvlText w:val="第%1节"/>
      <w:lvlJc w:val="left"/>
      <w:rPr>
        <w:rFonts w:hint="eastAsia"/>
      </w:rPr>
    </w:lvl>
  </w:abstractNum>
  <w:abstractNum w:abstractNumId="12">
    <w:nsid w:val="61E84C50"/>
    <w:multiLevelType w:val="multilevel"/>
    <w:tmpl w:val="61E84C50"/>
    <w:lvl w:ilvl="0" w:tentative="0">
      <w:start w:val="3"/>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94B897D"/>
    <w:multiLevelType w:val="singleLevel"/>
    <w:tmpl w:val="694B897D"/>
    <w:lvl w:ilvl="0" w:tentative="0">
      <w:start w:val="1"/>
      <w:numFmt w:val="chineseCounting"/>
      <w:suff w:val="space"/>
      <w:lvlText w:val="第%1节"/>
      <w:lvlJc w:val="left"/>
      <w:rPr>
        <w:rFonts w:hint="eastAsia"/>
      </w:rPr>
    </w:lvl>
  </w:abstractNum>
  <w:abstractNum w:abstractNumId="14">
    <w:nsid w:val="6C0AD744"/>
    <w:multiLevelType w:val="singleLevel"/>
    <w:tmpl w:val="6C0AD744"/>
    <w:lvl w:ilvl="0" w:tentative="0">
      <w:start w:val="1"/>
      <w:numFmt w:val="chineseCounting"/>
      <w:suff w:val="space"/>
      <w:lvlText w:val="第%1节"/>
      <w:lvlJc w:val="left"/>
      <w:rPr>
        <w:rFonts w:hint="eastAsia"/>
      </w:rPr>
    </w:lvl>
  </w:abstractNum>
  <w:num w:numId="1">
    <w:abstractNumId w:val="8"/>
  </w:num>
  <w:num w:numId="2">
    <w:abstractNumId w:val="9"/>
  </w:num>
  <w:num w:numId="3">
    <w:abstractNumId w:val="4"/>
  </w:num>
  <w:num w:numId="4">
    <w:abstractNumId w:val="13"/>
  </w:num>
  <w:num w:numId="5">
    <w:abstractNumId w:val="5"/>
  </w:num>
  <w:num w:numId="6">
    <w:abstractNumId w:val="10"/>
  </w:num>
  <w:num w:numId="7">
    <w:abstractNumId w:val="7"/>
  </w:num>
  <w:num w:numId="8">
    <w:abstractNumId w:val="1"/>
  </w:num>
  <w:num w:numId="9">
    <w:abstractNumId w:val="0"/>
  </w:num>
  <w:num w:numId="10">
    <w:abstractNumId w:val="11"/>
  </w:num>
  <w:num w:numId="11">
    <w:abstractNumId w:val="3"/>
  </w:num>
  <w:num w:numId="12">
    <w:abstractNumId w:val="12"/>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80"/>
  <w:bordersDoNotSurroundHeader w:val="0"/>
  <w:bordersDoNotSurroundFooter w:val="0"/>
  <w:documentProtection w:enforcement="0"/>
  <w:defaultTabStop w:val="420"/>
  <w:drawingGridVerticalSpacing w:val="22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NjVjNWIxYzFkOGM4NzBhZGMxYjRjNjZlOTg1YzYifQ=="/>
  </w:docVars>
  <w:rsids>
    <w:rsidRoot w:val="002B2017"/>
    <w:rsid w:val="00006655"/>
    <w:rsid w:val="0003173B"/>
    <w:rsid w:val="000534BF"/>
    <w:rsid w:val="00054992"/>
    <w:rsid w:val="000B21DA"/>
    <w:rsid w:val="000C2F57"/>
    <w:rsid w:val="000C3316"/>
    <w:rsid w:val="00132C9D"/>
    <w:rsid w:val="0019087C"/>
    <w:rsid w:val="0019198C"/>
    <w:rsid w:val="001A6167"/>
    <w:rsid w:val="001B3776"/>
    <w:rsid w:val="00200858"/>
    <w:rsid w:val="00254C2A"/>
    <w:rsid w:val="002B2017"/>
    <w:rsid w:val="002C1415"/>
    <w:rsid w:val="002C47DD"/>
    <w:rsid w:val="002D6319"/>
    <w:rsid w:val="002F558D"/>
    <w:rsid w:val="00305D09"/>
    <w:rsid w:val="00376C7A"/>
    <w:rsid w:val="003830BC"/>
    <w:rsid w:val="003879C9"/>
    <w:rsid w:val="003B3F88"/>
    <w:rsid w:val="003C0508"/>
    <w:rsid w:val="003F44AE"/>
    <w:rsid w:val="0044510A"/>
    <w:rsid w:val="00496A4B"/>
    <w:rsid w:val="004A022A"/>
    <w:rsid w:val="004B1B5F"/>
    <w:rsid w:val="004C2B68"/>
    <w:rsid w:val="00502C73"/>
    <w:rsid w:val="0053600B"/>
    <w:rsid w:val="00542536"/>
    <w:rsid w:val="00567A58"/>
    <w:rsid w:val="005C56CB"/>
    <w:rsid w:val="0064145D"/>
    <w:rsid w:val="00677569"/>
    <w:rsid w:val="006D374D"/>
    <w:rsid w:val="006E2ACF"/>
    <w:rsid w:val="00762FBA"/>
    <w:rsid w:val="0077464B"/>
    <w:rsid w:val="007C50C8"/>
    <w:rsid w:val="007D3728"/>
    <w:rsid w:val="007F1BCE"/>
    <w:rsid w:val="00863CBB"/>
    <w:rsid w:val="008B0B1F"/>
    <w:rsid w:val="009010FF"/>
    <w:rsid w:val="00905836"/>
    <w:rsid w:val="00A04E9D"/>
    <w:rsid w:val="00A10008"/>
    <w:rsid w:val="00A45231"/>
    <w:rsid w:val="00A618C0"/>
    <w:rsid w:val="00AD62C9"/>
    <w:rsid w:val="00B27F9F"/>
    <w:rsid w:val="00B76804"/>
    <w:rsid w:val="00BC284F"/>
    <w:rsid w:val="00C5367A"/>
    <w:rsid w:val="00C664BC"/>
    <w:rsid w:val="00C82311"/>
    <w:rsid w:val="00CC2960"/>
    <w:rsid w:val="00CE0783"/>
    <w:rsid w:val="00CF5A29"/>
    <w:rsid w:val="00D21787"/>
    <w:rsid w:val="00D83566"/>
    <w:rsid w:val="00D8786C"/>
    <w:rsid w:val="00D961C2"/>
    <w:rsid w:val="00DC07E7"/>
    <w:rsid w:val="00DC5662"/>
    <w:rsid w:val="00DD10C8"/>
    <w:rsid w:val="00DD44AE"/>
    <w:rsid w:val="00DD4751"/>
    <w:rsid w:val="00E059BE"/>
    <w:rsid w:val="00E177F5"/>
    <w:rsid w:val="00EE60DE"/>
    <w:rsid w:val="00EF06E7"/>
    <w:rsid w:val="00F26A73"/>
    <w:rsid w:val="00F343B4"/>
    <w:rsid w:val="00F809C6"/>
    <w:rsid w:val="00FE74D3"/>
    <w:rsid w:val="00FF34F3"/>
    <w:rsid w:val="01C40FCC"/>
    <w:rsid w:val="0229151B"/>
    <w:rsid w:val="03314F55"/>
    <w:rsid w:val="042B5A10"/>
    <w:rsid w:val="04310CA2"/>
    <w:rsid w:val="04EA6696"/>
    <w:rsid w:val="06763D78"/>
    <w:rsid w:val="083169E4"/>
    <w:rsid w:val="083B097C"/>
    <w:rsid w:val="085F2CAB"/>
    <w:rsid w:val="0B871F24"/>
    <w:rsid w:val="0BAB4C34"/>
    <w:rsid w:val="0BAE608E"/>
    <w:rsid w:val="0BB27B34"/>
    <w:rsid w:val="0DED563E"/>
    <w:rsid w:val="0FE00AE1"/>
    <w:rsid w:val="101A1822"/>
    <w:rsid w:val="12790B91"/>
    <w:rsid w:val="134D2146"/>
    <w:rsid w:val="14404022"/>
    <w:rsid w:val="16DD6D29"/>
    <w:rsid w:val="170038A3"/>
    <w:rsid w:val="17C16E42"/>
    <w:rsid w:val="18DC7A78"/>
    <w:rsid w:val="1B311EE9"/>
    <w:rsid w:val="1C103D74"/>
    <w:rsid w:val="1C8D4D53"/>
    <w:rsid w:val="205F149B"/>
    <w:rsid w:val="20853394"/>
    <w:rsid w:val="220B5C7C"/>
    <w:rsid w:val="23F23109"/>
    <w:rsid w:val="251B3472"/>
    <w:rsid w:val="27CA5330"/>
    <w:rsid w:val="27EB342A"/>
    <w:rsid w:val="2AA758FF"/>
    <w:rsid w:val="2C6A3736"/>
    <w:rsid w:val="2C8A3C97"/>
    <w:rsid w:val="2DB234CC"/>
    <w:rsid w:val="2DB705C3"/>
    <w:rsid w:val="30730055"/>
    <w:rsid w:val="31C4304E"/>
    <w:rsid w:val="3337303F"/>
    <w:rsid w:val="34334750"/>
    <w:rsid w:val="34EA7882"/>
    <w:rsid w:val="36C04873"/>
    <w:rsid w:val="375A1FEE"/>
    <w:rsid w:val="37B70D18"/>
    <w:rsid w:val="38435786"/>
    <w:rsid w:val="399F1910"/>
    <w:rsid w:val="39FD6D25"/>
    <w:rsid w:val="3A1018C6"/>
    <w:rsid w:val="3A756B00"/>
    <w:rsid w:val="3BBA7B79"/>
    <w:rsid w:val="3BDE5873"/>
    <w:rsid w:val="3C60357E"/>
    <w:rsid w:val="3E13589E"/>
    <w:rsid w:val="3E941607"/>
    <w:rsid w:val="3F304B0D"/>
    <w:rsid w:val="40791B35"/>
    <w:rsid w:val="40D90BA3"/>
    <w:rsid w:val="418A73C9"/>
    <w:rsid w:val="41E759B7"/>
    <w:rsid w:val="440B200A"/>
    <w:rsid w:val="44DA2ABF"/>
    <w:rsid w:val="470757B5"/>
    <w:rsid w:val="49AE6B2C"/>
    <w:rsid w:val="4AA21396"/>
    <w:rsid w:val="4B193C02"/>
    <w:rsid w:val="4B815C97"/>
    <w:rsid w:val="4BDC4AA1"/>
    <w:rsid w:val="4DD96425"/>
    <w:rsid w:val="4EDF62D3"/>
    <w:rsid w:val="50123AED"/>
    <w:rsid w:val="50207D36"/>
    <w:rsid w:val="509E06F9"/>
    <w:rsid w:val="510A1860"/>
    <w:rsid w:val="5176122A"/>
    <w:rsid w:val="51BB75CE"/>
    <w:rsid w:val="52E159F1"/>
    <w:rsid w:val="5366072D"/>
    <w:rsid w:val="540C11F0"/>
    <w:rsid w:val="547A285B"/>
    <w:rsid w:val="5602442F"/>
    <w:rsid w:val="57F35086"/>
    <w:rsid w:val="58704C37"/>
    <w:rsid w:val="59875ECD"/>
    <w:rsid w:val="5A026D8F"/>
    <w:rsid w:val="5A1A5CB8"/>
    <w:rsid w:val="5A7B2A51"/>
    <w:rsid w:val="5B0B29BD"/>
    <w:rsid w:val="5D2B1B91"/>
    <w:rsid w:val="5D9A48B7"/>
    <w:rsid w:val="61430BF7"/>
    <w:rsid w:val="615E7645"/>
    <w:rsid w:val="61CF04C0"/>
    <w:rsid w:val="624B121A"/>
    <w:rsid w:val="648E3E2D"/>
    <w:rsid w:val="64B727C9"/>
    <w:rsid w:val="654D3878"/>
    <w:rsid w:val="6596271A"/>
    <w:rsid w:val="65F23B28"/>
    <w:rsid w:val="66C97B08"/>
    <w:rsid w:val="68110152"/>
    <w:rsid w:val="688C2EDE"/>
    <w:rsid w:val="68C41350"/>
    <w:rsid w:val="6B2D3F03"/>
    <w:rsid w:val="6DBB091B"/>
    <w:rsid w:val="6DBB5A02"/>
    <w:rsid w:val="6EA94954"/>
    <w:rsid w:val="6F380835"/>
    <w:rsid w:val="6FCA31B0"/>
    <w:rsid w:val="72B13C6E"/>
    <w:rsid w:val="751F08A3"/>
    <w:rsid w:val="755513D4"/>
    <w:rsid w:val="75F420C5"/>
    <w:rsid w:val="76C77728"/>
    <w:rsid w:val="77E52A91"/>
    <w:rsid w:val="784259CF"/>
    <w:rsid w:val="79740069"/>
    <w:rsid w:val="799B66A6"/>
    <w:rsid w:val="7AA61A5B"/>
    <w:rsid w:val="7B510B17"/>
    <w:rsid w:val="7BC03E5A"/>
    <w:rsid w:val="7D6F1CD1"/>
    <w:rsid w:val="7E122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2"/>
      <w:lang w:val="en-US" w:eastAsia="zh-CN" w:bidi="ar-SA"/>
    </w:rPr>
  </w:style>
  <w:style w:type="paragraph" w:styleId="3">
    <w:name w:val="heading 1"/>
    <w:basedOn w:val="1"/>
    <w:next w:val="1"/>
    <w:link w:val="22"/>
    <w:qFormat/>
    <w:uiPriority w:val="0"/>
    <w:pPr>
      <w:keepNext/>
      <w:keepLines/>
      <w:spacing w:before="340" w:after="330" w:line="576" w:lineRule="auto"/>
      <w:outlineLvl w:val="0"/>
    </w:pPr>
    <w:rPr>
      <w:rFonts w:eastAsia="宋体"/>
      <w:b/>
      <w:kern w:val="44"/>
      <w:sz w:val="44"/>
      <w:szCs w:val="20"/>
    </w:rPr>
  </w:style>
  <w:style w:type="paragraph" w:styleId="4">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table of authorities"/>
    <w:basedOn w:val="1"/>
    <w:next w:val="1"/>
    <w:semiHidden/>
    <w:unhideWhenUsed/>
    <w:qFormat/>
    <w:uiPriority w:val="99"/>
    <w:pPr>
      <w:ind w:left="420" w:leftChars="200"/>
    </w:pPr>
  </w:style>
  <w:style w:type="paragraph" w:styleId="6">
    <w:name w:val="toc 3"/>
    <w:basedOn w:val="1"/>
    <w:next w:val="1"/>
    <w:qFormat/>
    <w:uiPriority w:val="0"/>
    <w:pPr>
      <w:ind w:left="840" w:leftChars="400"/>
    </w:pPr>
    <w:rPr>
      <w:rFonts w:eastAsia="宋体" w:cs="黑体"/>
      <w:sz w:val="21"/>
      <w:szCs w:val="24"/>
    </w:rPr>
  </w:style>
  <w:style w:type="paragraph" w:styleId="7">
    <w:name w:val="endnote text"/>
    <w:basedOn w:val="1"/>
    <w:link w:val="35"/>
    <w:qFormat/>
    <w:uiPriority w:val="0"/>
    <w:pPr>
      <w:snapToGrid w:val="0"/>
      <w:jc w:val="left"/>
    </w:pPr>
    <w:rPr>
      <w:rFonts w:asciiTheme="minorHAnsi" w:hAnsiTheme="minorHAnsi" w:eastAsiaTheme="minorEastAsia" w:cstheme="minorBidi"/>
      <w:kern w:val="0"/>
      <w:sz w:val="21"/>
    </w:rPr>
  </w:style>
  <w:style w:type="paragraph" w:styleId="8">
    <w:name w:val="Balloon Text"/>
    <w:basedOn w:val="1"/>
    <w:next w:val="1"/>
    <w:link w:val="24"/>
    <w:semiHidden/>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eastAsia="宋体" w:cs="黑体"/>
      <w:sz w:val="21"/>
      <w:szCs w:val="24"/>
    </w:rPr>
  </w:style>
  <w:style w:type="paragraph" w:styleId="12">
    <w:name w:val="Subtitle"/>
    <w:basedOn w:val="1"/>
    <w:next w:val="1"/>
    <w:link w:val="26"/>
    <w:qFormat/>
    <w:uiPriority w:val="11"/>
    <w:pPr>
      <w:spacing w:before="240" w:after="60" w:line="312" w:lineRule="auto"/>
      <w:jc w:val="center"/>
      <w:outlineLvl w:val="1"/>
    </w:pPr>
    <w:rPr>
      <w:rFonts w:asciiTheme="minorHAnsi" w:hAnsiTheme="minorHAnsi" w:eastAsiaTheme="minorEastAsia" w:cstheme="minorBidi"/>
      <w:b/>
      <w:bCs/>
      <w:kern w:val="28"/>
      <w:szCs w:val="32"/>
    </w:rPr>
  </w:style>
  <w:style w:type="paragraph" w:styleId="13">
    <w:name w:val="toc 2"/>
    <w:basedOn w:val="1"/>
    <w:next w:val="1"/>
    <w:qFormat/>
    <w:uiPriority w:val="39"/>
    <w:pPr>
      <w:ind w:left="420" w:leftChars="200"/>
    </w:pPr>
    <w:rPr>
      <w:rFonts w:eastAsia="宋体" w:cs="黑体"/>
      <w:sz w:val="21"/>
      <w:szCs w:val="24"/>
    </w:rPr>
  </w:style>
  <w:style w:type="paragraph" w:styleId="14">
    <w:name w:val="Normal (Web)"/>
    <w:basedOn w:val="1"/>
    <w:unhideWhenUsed/>
    <w:qFormat/>
    <w:uiPriority w:val="99"/>
    <w:pPr>
      <w:spacing w:before="100" w:beforeAutospacing="1" w:after="100" w:afterAutospacing="1"/>
      <w:jc w:val="left"/>
    </w:pPr>
    <w:rPr>
      <w:rFonts w:ascii="仿宋_GB2312" w:hAnsi="仿宋_GB2312" w:cs="仿宋_GB2312"/>
      <w:kern w:val="0"/>
      <w:sz w:val="24"/>
      <w:szCs w:val="3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style>
  <w:style w:type="character" w:styleId="19">
    <w:name w:val="endnote reference"/>
    <w:basedOn w:val="17"/>
    <w:qFormat/>
    <w:uiPriority w:val="0"/>
    <w:rPr>
      <w:vertAlign w:val="superscript"/>
    </w:rPr>
  </w:style>
  <w:style w:type="character" w:styleId="20">
    <w:name w:val="page number"/>
    <w:basedOn w:val="17"/>
    <w:qFormat/>
    <w:uiPriority w:val="0"/>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customStyle="1" w:styleId="22">
    <w:name w:val="标题 1 Char"/>
    <w:basedOn w:val="17"/>
    <w:link w:val="3"/>
    <w:qFormat/>
    <w:uiPriority w:val="0"/>
    <w:rPr>
      <w:rFonts w:ascii="Calibri" w:hAnsi="Calibri" w:eastAsia="宋体" w:cs="Times New Roman"/>
      <w:b/>
      <w:kern w:val="44"/>
      <w:sz w:val="44"/>
      <w:szCs w:val="20"/>
    </w:rPr>
  </w:style>
  <w:style w:type="character" w:customStyle="1" w:styleId="23">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4">
    <w:name w:val="批注框文本 Char"/>
    <w:basedOn w:val="17"/>
    <w:link w:val="8"/>
    <w:semiHidden/>
    <w:qFormat/>
    <w:uiPriority w:val="99"/>
    <w:rPr>
      <w:rFonts w:ascii="Calibri" w:hAnsi="Calibri" w:eastAsia="仿宋_GB2312" w:cs="Times New Roman"/>
      <w:sz w:val="18"/>
      <w:szCs w:val="18"/>
    </w:rPr>
  </w:style>
  <w:style w:type="character" w:customStyle="1" w:styleId="25">
    <w:name w:val="页眉 Char"/>
    <w:basedOn w:val="17"/>
    <w:link w:val="10"/>
    <w:semiHidden/>
    <w:qFormat/>
    <w:uiPriority w:val="99"/>
    <w:rPr>
      <w:rFonts w:ascii="Calibri" w:hAnsi="Calibri" w:eastAsia="仿宋_GB2312" w:cs="Times New Roman"/>
      <w:sz w:val="18"/>
      <w:szCs w:val="18"/>
    </w:rPr>
  </w:style>
  <w:style w:type="character" w:customStyle="1" w:styleId="26">
    <w:name w:val="副标题 Char"/>
    <w:basedOn w:val="17"/>
    <w:link w:val="12"/>
    <w:qFormat/>
    <w:uiPriority w:val="11"/>
    <w:rPr>
      <w:b/>
      <w:bCs/>
      <w:kern w:val="28"/>
      <w:sz w:val="32"/>
      <w:szCs w:val="32"/>
    </w:rPr>
  </w:style>
  <w:style w:type="paragraph" w:customStyle="1" w:styleId="27">
    <w:name w:val="罗乾熠常用"/>
    <w:basedOn w:val="1"/>
    <w:qFormat/>
    <w:uiPriority w:val="0"/>
    <w:pPr>
      <w:spacing w:line="240" w:lineRule="auto"/>
      <w:ind w:firstLine="640" w:firstLineChars="200"/>
    </w:pPr>
    <w:rPr>
      <w:rFonts w:ascii="仿宋_GB2312" w:hAnsi="仿宋_GB2312"/>
      <w:color w:val="000000"/>
    </w:rPr>
  </w:style>
  <w:style w:type="paragraph" w:customStyle="1" w:styleId="28">
    <w:name w:val="正文-公1"/>
    <w:basedOn w:val="1"/>
    <w:next w:val="29"/>
    <w:qFormat/>
    <w:uiPriority w:val="0"/>
    <w:pPr>
      <w:ind w:firstLine="200" w:firstLineChars="200"/>
    </w:pPr>
    <w:rPr>
      <w:rFonts w:ascii="Times New Roman" w:hAnsi="Times New Roman" w:eastAsia="宋体"/>
      <w:color w:val="000000"/>
      <w:sz w:val="21"/>
      <w:szCs w:val="24"/>
    </w:rPr>
  </w:style>
  <w:style w:type="paragraph" w:customStyle="1" w:styleId="29">
    <w:name w:val="普通(网站)1"/>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30">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31">
    <w:name w:val="font01"/>
    <w:qFormat/>
    <w:uiPriority w:val="0"/>
    <w:rPr>
      <w:rFonts w:ascii="宋体" w:eastAsia="宋体" w:cs="宋体"/>
      <w:color w:val="000000"/>
      <w:sz w:val="21"/>
      <w:szCs w:val="21"/>
      <w:u w:val="none"/>
    </w:rPr>
  </w:style>
  <w:style w:type="paragraph" w:styleId="32">
    <w:name w:val="List Paragraph"/>
    <w:basedOn w:val="1"/>
    <w:qFormat/>
    <w:uiPriority w:val="34"/>
    <w:pPr>
      <w:ind w:firstLine="420" w:firstLineChars="200"/>
    </w:p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尾注文本 Char"/>
    <w:basedOn w:val="17"/>
    <w:link w:val="7"/>
    <w:qFormat/>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B5122-FBE2-4AC8-A6D7-AD43E4957B9E}">
  <ds:schemaRefs/>
</ds:datastoreItem>
</file>

<file path=docProps/app.xml><?xml version="1.0" encoding="utf-8"?>
<Properties xmlns="http://schemas.openxmlformats.org/officeDocument/2006/extended-properties" xmlns:vt="http://schemas.openxmlformats.org/officeDocument/2006/docPropsVTypes">
  <Template>Normal</Template>
  <Pages>167</Pages>
  <Words>8674</Words>
  <Characters>9495</Characters>
  <Lines>1</Lines>
  <Paragraphs>1</Paragraphs>
  <TotalTime>10</TotalTime>
  <ScaleCrop>false</ScaleCrop>
  <LinksUpToDate>false</LinksUpToDate>
  <CharactersWithSpaces>9680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2021-03-02T09:43:00Z</dcterms:created>
  <dc:creator>Administrator</dc:creator>
  <cp:lastModifiedBy>刘行</cp:lastModifiedBy>
  <cp:lastPrinted>2021-01-06T02:58:00Z</cp:lastPrinted>
  <dcterms:modified xsi:type="dcterms:W3CDTF">2025-05-21T07:12:51Z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301FB3F38182480884F4881B92FE4083</vt:lpwstr>
  </property>
  <property fmtid="{D5CDD505-2E9C-101B-9397-08002B2CF9AE}" pid="4" name="KSOTemplateDocerSaveRecord">
    <vt:lpwstr>eyJoZGlkIjoiNjEyNTNlZGZmMzQzYTdiOWJlMTI5NmE5OTkwMDA5MTEiLCJ1c2VySWQiOiI5OTQzNjI5MzEifQ==</vt:lpwstr>
  </property>
</Properties>
</file>