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小标宋简体" w:hAnsi="黑体" w:eastAsia="方正小标宋简体" w:cs="黑体"/>
          <w:sz w:val="44"/>
          <w:szCs w:val="44"/>
        </w:rPr>
      </w:pPr>
    </w:p>
    <w:p>
      <w:pPr>
        <w:spacing w:line="600" w:lineRule="exact"/>
        <w:ind w:firstLine="1760" w:firstLineChars="400"/>
        <w:rPr>
          <w:rFonts w:ascii="方正小标宋简体" w:hAnsi="黑体" w:eastAsia="方正小标宋简体" w:cs="黑体"/>
          <w:sz w:val="44"/>
          <w:szCs w:val="44"/>
        </w:rPr>
      </w:pPr>
    </w:p>
    <w:p>
      <w:pPr>
        <w:spacing w:line="600" w:lineRule="exact"/>
        <w:ind w:firstLine="1760" w:firstLineChars="400"/>
        <w:rPr>
          <w:rFonts w:ascii="方正小标宋简体" w:hAnsi="黑体" w:eastAsia="方正小标宋简体" w:cs="黑体"/>
          <w:sz w:val="44"/>
          <w:szCs w:val="44"/>
        </w:rPr>
      </w:pPr>
      <w:r>
        <w:rPr>
          <w:rFonts w:hint="eastAsia" w:ascii="方正小标宋简体" w:hAnsi="黑体" w:eastAsia="方正小标宋简体" w:cs="黑体"/>
          <w:sz w:val="44"/>
          <w:szCs w:val="44"/>
        </w:rPr>
        <w:t>绥阳县水务局权力清单和责任清单目录（21项）</w:t>
      </w:r>
    </w:p>
    <w:p>
      <w:pPr>
        <w:spacing w:line="240" w:lineRule="exact"/>
        <w:jc w:val="center"/>
        <w:rPr>
          <w:rFonts w:ascii="方正小标宋简体" w:hAnsi="黑体" w:eastAsia="方正小标宋简体" w:cs="黑体"/>
          <w:b/>
          <w:bCs/>
          <w:sz w:val="44"/>
          <w:szCs w:val="44"/>
        </w:rPr>
      </w:pPr>
    </w:p>
    <w:tbl>
      <w:tblPr>
        <w:tblStyle w:val="4"/>
        <w:tblW w:w="15649" w:type="dxa"/>
        <w:tblInd w:w="-6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765"/>
        <w:gridCol w:w="1132"/>
        <w:gridCol w:w="3847"/>
        <w:gridCol w:w="5100"/>
        <w:gridCol w:w="1072"/>
        <w:gridCol w:w="1039"/>
        <w:gridCol w:w="1125"/>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490" w:type="dxa"/>
            <w:tcBorders>
              <w:right w:val="single" w:color="auto" w:sz="4" w:space="0"/>
            </w:tcBorders>
            <w:noWrap/>
            <w:vAlign w:val="center"/>
          </w:tcPr>
          <w:p>
            <w:pPr>
              <w:spacing w:line="240" w:lineRule="exact"/>
              <w:jc w:val="center"/>
              <w:rPr>
                <w:rFonts w:ascii="黑体" w:hAnsi="黑体" w:eastAsia="黑体" w:cs="宋体"/>
                <w:szCs w:val="21"/>
              </w:rPr>
            </w:pPr>
            <w:r>
              <w:rPr>
                <w:rFonts w:hint="eastAsia" w:ascii="黑体" w:hAnsi="黑体" w:eastAsia="黑体" w:cs="宋体"/>
                <w:szCs w:val="21"/>
              </w:rPr>
              <w:t>序号</w:t>
            </w:r>
          </w:p>
        </w:tc>
        <w:tc>
          <w:tcPr>
            <w:tcW w:w="765" w:type="dxa"/>
            <w:tcBorders>
              <w:left w:val="single" w:color="auto" w:sz="4" w:space="0"/>
              <w:right w:val="single" w:color="auto" w:sz="4" w:space="0"/>
            </w:tcBorders>
            <w:noWrap/>
            <w:vAlign w:val="center"/>
          </w:tcPr>
          <w:p>
            <w:pPr>
              <w:spacing w:line="240" w:lineRule="exact"/>
              <w:jc w:val="center"/>
              <w:rPr>
                <w:rFonts w:ascii="黑体" w:hAnsi="黑体" w:eastAsia="黑体" w:cs="宋体"/>
                <w:szCs w:val="21"/>
              </w:rPr>
            </w:pPr>
            <w:r>
              <w:rPr>
                <w:rFonts w:hint="eastAsia" w:ascii="黑体" w:hAnsi="黑体" w:eastAsia="黑体" w:cs="宋体"/>
                <w:szCs w:val="21"/>
              </w:rPr>
              <w:t>权力</w:t>
            </w:r>
          </w:p>
          <w:p>
            <w:pPr>
              <w:spacing w:line="240" w:lineRule="exact"/>
              <w:jc w:val="center"/>
              <w:rPr>
                <w:rFonts w:ascii="黑体" w:hAnsi="黑体" w:eastAsia="黑体" w:cs="宋体"/>
                <w:szCs w:val="21"/>
              </w:rPr>
            </w:pPr>
            <w:r>
              <w:rPr>
                <w:rFonts w:hint="eastAsia" w:ascii="黑体" w:hAnsi="黑体" w:eastAsia="黑体" w:cs="宋体"/>
                <w:szCs w:val="21"/>
              </w:rPr>
              <w:t>类型</w:t>
            </w:r>
          </w:p>
        </w:tc>
        <w:tc>
          <w:tcPr>
            <w:tcW w:w="1132" w:type="dxa"/>
            <w:tcBorders>
              <w:left w:val="single" w:color="auto" w:sz="4" w:space="0"/>
              <w:right w:val="single" w:color="auto" w:sz="4" w:space="0"/>
            </w:tcBorders>
            <w:noWrap/>
            <w:vAlign w:val="center"/>
          </w:tcPr>
          <w:p>
            <w:pPr>
              <w:spacing w:line="240" w:lineRule="exact"/>
              <w:jc w:val="center"/>
              <w:rPr>
                <w:rFonts w:ascii="黑体" w:hAnsi="黑体" w:eastAsia="黑体" w:cs="宋体"/>
                <w:szCs w:val="21"/>
              </w:rPr>
            </w:pPr>
            <w:r>
              <w:rPr>
                <w:rFonts w:hint="eastAsia" w:ascii="黑体" w:hAnsi="黑体" w:eastAsia="黑体" w:cs="宋体"/>
                <w:szCs w:val="21"/>
              </w:rPr>
              <w:t>权力名称</w:t>
            </w:r>
          </w:p>
        </w:tc>
        <w:tc>
          <w:tcPr>
            <w:tcW w:w="3847" w:type="dxa"/>
            <w:tcBorders>
              <w:left w:val="single" w:color="auto" w:sz="4" w:space="0"/>
              <w:right w:val="single" w:color="auto" w:sz="4" w:space="0"/>
            </w:tcBorders>
            <w:noWrap/>
            <w:vAlign w:val="center"/>
          </w:tcPr>
          <w:p>
            <w:pPr>
              <w:spacing w:line="240" w:lineRule="exact"/>
              <w:jc w:val="center"/>
              <w:rPr>
                <w:rFonts w:ascii="黑体" w:hAnsi="黑体" w:eastAsia="黑体" w:cs="宋体"/>
                <w:szCs w:val="21"/>
              </w:rPr>
            </w:pPr>
            <w:r>
              <w:rPr>
                <w:rFonts w:hint="eastAsia" w:ascii="黑体" w:hAnsi="黑体" w:eastAsia="黑体" w:cs="宋体"/>
                <w:szCs w:val="21"/>
              </w:rPr>
              <w:t>权力依据</w:t>
            </w:r>
          </w:p>
        </w:tc>
        <w:tc>
          <w:tcPr>
            <w:tcW w:w="5100" w:type="dxa"/>
            <w:tcBorders>
              <w:left w:val="single" w:color="auto" w:sz="4" w:space="0"/>
              <w:right w:val="single" w:color="auto" w:sz="4" w:space="0"/>
            </w:tcBorders>
            <w:noWrap/>
            <w:vAlign w:val="center"/>
          </w:tcPr>
          <w:p>
            <w:pPr>
              <w:spacing w:line="240" w:lineRule="exact"/>
              <w:jc w:val="center"/>
              <w:rPr>
                <w:rFonts w:ascii="黑体" w:hAnsi="黑体" w:eastAsia="黑体" w:cs="宋体"/>
                <w:szCs w:val="21"/>
              </w:rPr>
            </w:pPr>
            <w:r>
              <w:rPr>
                <w:rFonts w:hint="eastAsia" w:ascii="黑体" w:hAnsi="黑体" w:eastAsia="黑体" w:cs="宋体"/>
                <w:szCs w:val="21"/>
              </w:rPr>
              <w:t>责任事项</w:t>
            </w:r>
          </w:p>
        </w:tc>
        <w:tc>
          <w:tcPr>
            <w:tcW w:w="1072" w:type="dxa"/>
            <w:tcBorders>
              <w:left w:val="single" w:color="auto" w:sz="4" w:space="0"/>
              <w:right w:val="single" w:color="auto" w:sz="4" w:space="0"/>
            </w:tcBorders>
            <w:noWrap/>
            <w:vAlign w:val="center"/>
          </w:tcPr>
          <w:p>
            <w:pPr>
              <w:spacing w:line="240" w:lineRule="exact"/>
              <w:jc w:val="center"/>
              <w:rPr>
                <w:rFonts w:ascii="黑体" w:hAnsi="黑体" w:eastAsia="黑体" w:cs="宋体"/>
                <w:szCs w:val="21"/>
              </w:rPr>
            </w:pPr>
            <w:r>
              <w:rPr>
                <w:rFonts w:hint="eastAsia" w:ascii="黑体" w:hAnsi="黑体" w:eastAsia="黑体" w:cs="宋体"/>
                <w:szCs w:val="21"/>
              </w:rPr>
              <w:t>责任事项</w:t>
            </w:r>
          </w:p>
          <w:p>
            <w:pPr>
              <w:spacing w:line="240" w:lineRule="exact"/>
              <w:jc w:val="center"/>
              <w:rPr>
                <w:rFonts w:ascii="黑体" w:hAnsi="黑体" w:eastAsia="黑体" w:cs="宋体"/>
                <w:szCs w:val="21"/>
              </w:rPr>
            </w:pPr>
            <w:r>
              <w:rPr>
                <w:rFonts w:hint="eastAsia" w:ascii="黑体" w:hAnsi="黑体" w:eastAsia="黑体" w:cs="宋体"/>
                <w:szCs w:val="21"/>
              </w:rPr>
              <w:t>依据</w:t>
            </w:r>
          </w:p>
        </w:tc>
        <w:tc>
          <w:tcPr>
            <w:tcW w:w="1039" w:type="dxa"/>
            <w:tcBorders>
              <w:left w:val="single" w:color="auto" w:sz="4" w:space="0"/>
              <w:right w:val="single" w:color="auto" w:sz="4" w:space="0"/>
            </w:tcBorders>
            <w:noWrap/>
            <w:vAlign w:val="center"/>
          </w:tcPr>
          <w:p>
            <w:pPr>
              <w:spacing w:line="240" w:lineRule="exact"/>
              <w:jc w:val="center"/>
              <w:rPr>
                <w:rFonts w:ascii="黑体" w:hAnsi="黑体" w:eastAsia="黑体" w:cs="宋体"/>
                <w:szCs w:val="21"/>
              </w:rPr>
            </w:pPr>
            <w:r>
              <w:rPr>
                <w:rFonts w:hint="eastAsia" w:ascii="黑体" w:hAnsi="黑体" w:eastAsia="黑体" w:cs="宋体"/>
                <w:szCs w:val="21"/>
              </w:rPr>
              <w:t>承办</w:t>
            </w:r>
          </w:p>
          <w:p>
            <w:pPr>
              <w:spacing w:line="240" w:lineRule="exact"/>
              <w:jc w:val="center"/>
              <w:rPr>
                <w:rFonts w:ascii="黑体" w:hAnsi="黑体" w:eastAsia="黑体" w:cs="宋体"/>
                <w:szCs w:val="21"/>
              </w:rPr>
            </w:pPr>
            <w:r>
              <w:rPr>
                <w:rFonts w:hint="eastAsia" w:ascii="黑体" w:hAnsi="黑体" w:eastAsia="黑体" w:cs="宋体"/>
                <w:szCs w:val="21"/>
              </w:rPr>
              <w:t>机构</w:t>
            </w:r>
          </w:p>
        </w:tc>
        <w:tc>
          <w:tcPr>
            <w:tcW w:w="1125" w:type="dxa"/>
            <w:tcBorders>
              <w:left w:val="single" w:color="auto" w:sz="4" w:space="0"/>
              <w:right w:val="single" w:color="auto" w:sz="4" w:space="0"/>
            </w:tcBorders>
            <w:noWrap/>
            <w:vAlign w:val="center"/>
          </w:tcPr>
          <w:p>
            <w:pPr>
              <w:spacing w:line="240" w:lineRule="exact"/>
              <w:jc w:val="center"/>
              <w:rPr>
                <w:rFonts w:ascii="黑体" w:hAnsi="黑体" w:eastAsia="黑体" w:cs="宋体"/>
                <w:szCs w:val="21"/>
              </w:rPr>
            </w:pPr>
            <w:r>
              <w:rPr>
                <w:rFonts w:hint="eastAsia" w:ascii="黑体" w:hAnsi="黑体" w:eastAsia="黑体" w:cs="宋体"/>
                <w:szCs w:val="21"/>
              </w:rPr>
              <w:t>追责对象范围</w:t>
            </w:r>
          </w:p>
        </w:tc>
        <w:tc>
          <w:tcPr>
            <w:tcW w:w="1079" w:type="dxa"/>
            <w:tcBorders>
              <w:left w:val="single" w:color="auto" w:sz="4" w:space="0"/>
            </w:tcBorders>
            <w:noWrap/>
            <w:vAlign w:val="center"/>
          </w:tcPr>
          <w:p>
            <w:pPr>
              <w:spacing w:line="240" w:lineRule="exact"/>
              <w:jc w:val="center"/>
              <w:rPr>
                <w:rFonts w:ascii="黑体" w:hAnsi="黑体" w:eastAsia="黑体" w:cs="宋体"/>
                <w:szCs w:val="21"/>
              </w:rPr>
            </w:pPr>
            <w:r>
              <w:rPr>
                <w:rFonts w:hint="eastAsia" w:ascii="黑体" w:hAnsi="黑体" w:eastAsia="黑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2" w:hRule="atLeast"/>
        </w:trPr>
        <w:tc>
          <w:tcPr>
            <w:tcW w:w="490" w:type="dxa"/>
            <w:tcBorders>
              <w:right w:val="single" w:color="auto" w:sz="4" w:space="0"/>
            </w:tcBorders>
            <w:noWrap/>
            <w:vAlign w:val="center"/>
          </w:tcPr>
          <w:p>
            <w:pPr>
              <w:numPr>
                <w:ilvl w:val="0"/>
                <w:numId w:val="1"/>
              </w:numPr>
              <w:spacing w:line="240" w:lineRule="exact"/>
              <w:jc w:val="center"/>
              <w:rPr>
                <w:rFonts w:ascii="黑体" w:hAnsi="黑体" w:eastAsia="黑体" w:cs="黑体"/>
                <w:szCs w:val="21"/>
              </w:rPr>
            </w:pPr>
          </w:p>
        </w:tc>
        <w:tc>
          <w:tcPr>
            <w:tcW w:w="765"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行政许可</w:t>
            </w:r>
          </w:p>
        </w:tc>
        <w:tc>
          <w:tcPr>
            <w:tcW w:w="1132"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权限内洪水影响评价类审批</w:t>
            </w:r>
          </w:p>
        </w:tc>
        <w:tc>
          <w:tcPr>
            <w:tcW w:w="3847" w:type="dxa"/>
            <w:tcBorders>
              <w:left w:val="single" w:color="auto" w:sz="4" w:space="0"/>
              <w:right w:val="single" w:color="auto" w:sz="4" w:space="0"/>
            </w:tcBorders>
            <w:noWrap/>
            <w:vAlign w:val="center"/>
          </w:tcPr>
          <w:p>
            <w:pPr>
              <w:widowControl/>
              <w:spacing w:line="240" w:lineRule="exact"/>
              <w:rPr>
                <w:rFonts w:ascii="宋体" w:hAnsi="宋体"/>
                <w:sz w:val="18"/>
                <w:szCs w:val="18"/>
              </w:rPr>
            </w:pPr>
            <w:r>
              <w:rPr>
                <w:rFonts w:hint="eastAsia" w:ascii="宋体" w:hAnsi="宋体"/>
                <w:sz w:val="18"/>
                <w:szCs w:val="18"/>
              </w:rPr>
              <w:t>《中华人民共和国水法》（2016年7月2日第十二届全国人民代表大会常务委员会第二十一次会议第二次修正）</w:t>
            </w:r>
          </w:p>
          <w:p>
            <w:pPr>
              <w:widowControl/>
              <w:spacing w:line="240" w:lineRule="exact"/>
              <w:rPr>
                <w:rFonts w:ascii="宋体" w:hAnsi="宋体"/>
                <w:sz w:val="18"/>
                <w:szCs w:val="18"/>
              </w:rPr>
            </w:pPr>
            <w:r>
              <w:rPr>
                <w:rFonts w:hint="eastAsia" w:ascii="宋体" w:hAnsi="宋体"/>
                <w:sz w:val="18"/>
                <w:szCs w:val="18"/>
              </w:rPr>
              <w:t>《中华人民共和国防洪法》（2016年7月2日第十二届全国人民代表大会常务委员会第二十一次会议第三次修正）</w:t>
            </w:r>
          </w:p>
          <w:p>
            <w:pPr>
              <w:widowControl/>
              <w:spacing w:line="240" w:lineRule="exact"/>
              <w:rPr>
                <w:rFonts w:ascii="宋体" w:hAnsi="宋体"/>
                <w:sz w:val="18"/>
                <w:szCs w:val="18"/>
              </w:rPr>
            </w:pPr>
            <w:r>
              <w:rPr>
                <w:rFonts w:hint="eastAsia" w:ascii="宋体" w:hAnsi="宋体"/>
                <w:sz w:val="18"/>
                <w:szCs w:val="18"/>
              </w:rPr>
              <w:t>《中华人民共和国河道管理条例》（国务院令第3号）</w:t>
            </w:r>
          </w:p>
          <w:p>
            <w:pPr>
              <w:widowControl/>
              <w:spacing w:line="240" w:lineRule="exact"/>
              <w:rPr>
                <w:rFonts w:ascii="宋体" w:hAnsi="宋体"/>
                <w:sz w:val="18"/>
                <w:szCs w:val="18"/>
              </w:rPr>
            </w:pPr>
            <w:r>
              <w:rPr>
                <w:rFonts w:hint="eastAsia" w:ascii="宋体" w:hAnsi="宋体"/>
                <w:sz w:val="18"/>
                <w:szCs w:val="18"/>
              </w:rPr>
              <w:t>《水文监测环境和设施保护办法》（2015年12月16日&lt;水利部关于废止和修改部分规章的决定&gt;修正）</w:t>
            </w:r>
          </w:p>
          <w:p>
            <w:pPr>
              <w:widowControl/>
              <w:spacing w:line="240" w:lineRule="exact"/>
              <w:rPr>
                <w:rFonts w:ascii="宋体" w:hAnsi="宋体" w:cs="宋体"/>
                <w:kern w:val="0"/>
                <w:sz w:val="18"/>
                <w:szCs w:val="18"/>
              </w:rPr>
            </w:pPr>
            <w:r>
              <w:rPr>
                <w:rFonts w:hint="eastAsia" w:ascii="宋体" w:hAnsi="宋体" w:cs="宋体"/>
                <w:kern w:val="0"/>
                <w:sz w:val="18"/>
                <w:szCs w:val="18"/>
              </w:rPr>
              <w:t>《水库大坝安全管理条例》《贵州省水利工程管理条例》《贵州省河道条例》《遵义市湘江保护条例》</w:t>
            </w:r>
          </w:p>
        </w:tc>
        <w:tc>
          <w:tcPr>
            <w:tcW w:w="5100" w:type="dxa"/>
            <w:tcBorders>
              <w:left w:val="single" w:color="auto" w:sz="4" w:space="0"/>
              <w:right w:val="single" w:color="auto" w:sz="4" w:space="0"/>
            </w:tcBorders>
            <w:noWrap/>
            <w:vAlign w:val="center"/>
          </w:tcPr>
          <w:p>
            <w:pPr>
              <w:widowControl/>
              <w:spacing w:line="240" w:lineRule="exact"/>
              <w:rPr>
                <w:rFonts w:ascii="宋体" w:hAnsi="宋体"/>
                <w:sz w:val="18"/>
                <w:szCs w:val="18"/>
              </w:rPr>
            </w:pPr>
            <w:r>
              <w:rPr>
                <w:rFonts w:hint="eastAsia" w:ascii="宋体" w:hAnsi="宋体"/>
                <w:sz w:val="18"/>
                <w:szCs w:val="18"/>
              </w:rPr>
              <w:t xml:space="preserve">1.受理责任：公示法定应当提交的材料；一次性告知补正材料；依法受理或不予受理申请（不予受理应当告知理由）。  </w:t>
            </w:r>
          </w:p>
          <w:p>
            <w:pPr>
              <w:widowControl/>
              <w:spacing w:line="240" w:lineRule="exact"/>
              <w:rPr>
                <w:rFonts w:ascii="宋体" w:hAnsi="宋体"/>
                <w:sz w:val="18"/>
                <w:szCs w:val="18"/>
              </w:rPr>
            </w:pPr>
            <w:r>
              <w:rPr>
                <w:rFonts w:hint="eastAsia" w:ascii="宋体" w:hAnsi="宋体"/>
                <w:sz w:val="18"/>
                <w:szCs w:val="18"/>
              </w:rPr>
              <w:t xml:space="preserve">2.审查责任：对申请人提交的申请材料进行审查，提出审查意见。  </w:t>
            </w:r>
          </w:p>
          <w:p>
            <w:pPr>
              <w:widowControl/>
              <w:spacing w:line="240" w:lineRule="exact"/>
              <w:rPr>
                <w:rFonts w:ascii="宋体" w:hAnsi="宋体"/>
                <w:sz w:val="18"/>
                <w:szCs w:val="18"/>
              </w:rPr>
            </w:pPr>
            <w:r>
              <w:rPr>
                <w:rFonts w:hint="eastAsia" w:ascii="宋体" w:hAnsi="宋体"/>
                <w:sz w:val="18"/>
                <w:szCs w:val="18"/>
              </w:rPr>
              <w:t xml:space="preserve">3.决定责任：在规定期限内作出许可或不予许可的书面决定；不予许可应告知理由，并告知相对人申请复议或提起行政诉讼的权利。  </w:t>
            </w:r>
          </w:p>
          <w:p>
            <w:pPr>
              <w:widowControl/>
              <w:spacing w:line="240" w:lineRule="exact"/>
              <w:rPr>
                <w:rFonts w:ascii="宋体" w:hAnsi="宋体"/>
                <w:sz w:val="18"/>
                <w:szCs w:val="18"/>
              </w:rPr>
            </w:pPr>
            <w:r>
              <w:rPr>
                <w:rFonts w:hint="eastAsia" w:ascii="宋体" w:hAnsi="宋体"/>
                <w:sz w:val="18"/>
                <w:szCs w:val="18"/>
              </w:rPr>
              <w:t xml:space="preserve">4.送达责任：在规定期限内  向申请人送达行政许可证件；建立信息档案；公开有关信息。  </w:t>
            </w:r>
          </w:p>
          <w:p>
            <w:pPr>
              <w:widowControl/>
              <w:spacing w:line="240" w:lineRule="exact"/>
              <w:rPr>
                <w:rFonts w:ascii="宋体" w:hAnsi="宋体"/>
                <w:sz w:val="18"/>
                <w:szCs w:val="18"/>
              </w:rPr>
            </w:pPr>
            <w:r>
              <w:rPr>
                <w:rFonts w:hint="eastAsia" w:ascii="宋体" w:hAnsi="宋体"/>
                <w:sz w:val="18"/>
                <w:szCs w:val="18"/>
              </w:rPr>
              <w:t xml:space="preserve">5.事后监管责任：建立实施监督检查的运行机制和管理制度，加强监管。 </w:t>
            </w:r>
          </w:p>
          <w:p>
            <w:pPr>
              <w:widowControl/>
              <w:spacing w:line="240" w:lineRule="exact"/>
              <w:rPr>
                <w:rFonts w:ascii="宋体" w:hAnsi="宋体" w:cs="宋体"/>
                <w:sz w:val="18"/>
                <w:szCs w:val="18"/>
              </w:rPr>
            </w:pPr>
            <w:r>
              <w:rPr>
                <w:rFonts w:hint="eastAsia" w:ascii="宋体" w:hAnsi="宋体"/>
                <w:sz w:val="18"/>
                <w:szCs w:val="18"/>
              </w:rPr>
              <w:t>6.法律法规规章文件规定应履行的其他责任。</w:t>
            </w:r>
          </w:p>
        </w:tc>
        <w:tc>
          <w:tcPr>
            <w:tcW w:w="1072" w:type="dxa"/>
            <w:tcBorders>
              <w:left w:val="single" w:color="auto" w:sz="4" w:space="0"/>
              <w:right w:val="single" w:color="auto" w:sz="4" w:space="0"/>
            </w:tcBorders>
            <w:noWrap/>
            <w:vAlign w:val="center"/>
          </w:tcPr>
          <w:p>
            <w:pPr>
              <w:widowControl/>
              <w:spacing w:line="240" w:lineRule="exact"/>
              <w:rPr>
                <w:rFonts w:ascii="宋体" w:hAnsi="宋体"/>
                <w:sz w:val="18"/>
                <w:szCs w:val="18"/>
              </w:rPr>
            </w:pPr>
            <w:r>
              <w:rPr>
                <w:rFonts w:hint="eastAsia" w:ascii="宋体" w:hAnsi="宋体"/>
                <w:sz w:val="18"/>
                <w:szCs w:val="18"/>
              </w:rPr>
              <w:t>《行政许可法》第三十、三十二、三十四、三十七、三十八、三十九、四十、四十二、四十四、六十一条。</w:t>
            </w:r>
          </w:p>
          <w:p>
            <w:pPr>
              <w:widowControl/>
              <w:spacing w:line="240" w:lineRule="exact"/>
              <w:jc w:val="left"/>
              <w:textAlignment w:val="center"/>
              <w:rPr>
                <w:rFonts w:ascii="宋体" w:hAnsi="宋体" w:cs="宋体"/>
                <w:sz w:val="18"/>
                <w:szCs w:val="18"/>
              </w:rPr>
            </w:pPr>
          </w:p>
        </w:tc>
        <w:tc>
          <w:tcPr>
            <w:tcW w:w="1039" w:type="dxa"/>
            <w:tcBorders>
              <w:left w:val="single" w:color="auto" w:sz="4" w:space="0"/>
              <w:right w:val="single" w:color="auto" w:sz="4" w:space="0"/>
            </w:tcBorders>
            <w:noWrap/>
            <w:vAlign w:val="center"/>
          </w:tcPr>
          <w:p>
            <w:pPr>
              <w:spacing w:line="240" w:lineRule="exact"/>
              <w:rPr>
                <w:rFonts w:ascii="宋体" w:hAnsi="宋体" w:cs="宋体"/>
                <w:sz w:val="18"/>
                <w:szCs w:val="18"/>
              </w:rPr>
            </w:pPr>
            <w:r>
              <w:rPr>
                <w:rFonts w:hint="eastAsia" w:ascii="宋体" w:hAnsi="宋体" w:cs="宋体"/>
                <w:sz w:val="18"/>
                <w:szCs w:val="18"/>
              </w:rPr>
              <w:t>运行服务中心综合股、县水务</w:t>
            </w:r>
            <w:r>
              <w:rPr>
                <w:rFonts w:hint="eastAsia" w:ascii="宋体" w:hAnsi="宋体" w:cs="宋体"/>
                <w:kern w:val="0"/>
                <w:sz w:val="18"/>
                <w:szCs w:val="18"/>
              </w:rPr>
              <w:t>局</w:t>
            </w:r>
            <w:r>
              <w:rPr>
                <w:rFonts w:hint="eastAsia" w:ascii="宋体" w:hAnsi="宋体" w:cs="宋体"/>
                <w:sz w:val="18"/>
                <w:szCs w:val="18"/>
              </w:rPr>
              <w:t>驻市政务服务中心窗口</w:t>
            </w:r>
          </w:p>
        </w:tc>
        <w:tc>
          <w:tcPr>
            <w:tcW w:w="1125" w:type="dxa"/>
            <w:tcBorders>
              <w:left w:val="single" w:color="auto" w:sz="4" w:space="0"/>
              <w:right w:val="single" w:color="auto" w:sz="4" w:space="0"/>
            </w:tcBorders>
            <w:noWrap/>
            <w:vAlign w:val="center"/>
          </w:tcPr>
          <w:p>
            <w:pPr>
              <w:widowControl/>
              <w:spacing w:line="240" w:lineRule="exact"/>
              <w:rPr>
                <w:rFonts w:ascii="宋体" w:hAnsi="宋体" w:cs="宋体"/>
                <w:sz w:val="18"/>
                <w:szCs w:val="18"/>
              </w:rPr>
            </w:pPr>
            <w:r>
              <w:rPr>
                <w:rFonts w:hint="eastAsia" w:ascii="宋体" w:hAnsi="宋体"/>
                <w:sz w:val="18"/>
                <w:szCs w:val="18"/>
              </w:rPr>
              <w:t>单位法定代表人、分管领导、科室负责人、窗口负责人、具体承办人</w:t>
            </w:r>
          </w:p>
        </w:tc>
        <w:tc>
          <w:tcPr>
            <w:tcW w:w="1079" w:type="dxa"/>
            <w:tcBorders>
              <w:left w:val="single" w:color="auto" w:sz="4" w:space="0"/>
            </w:tcBorders>
            <w:noWrap/>
            <w:vAlign w:val="center"/>
          </w:tcPr>
          <w:p>
            <w:pPr>
              <w:widowControl/>
              <w:spacing w:line="240" w:lineRule="exact"/>
              <w:ind w:left="134" w:leftChars="64" w:right="73" w:rightChars="35"/>
              <w:textAlignment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490" w:type="dxa"/>
            <w:tcBorders>
              <w:right w:val="single" w:color="auto" w:sz="4" w:space="0"/>
            </w:tcBorders>
            <w:noWrap/>
            <w:vAlign w:val="center"/>
          </w:tcPr>
          <w:p>
            <w:pPr>
              <w:numPr>
                <w:ilvl w:val="0"/>
                <w:numId w:val="1"/>
              </w:numPr>
              <w:spacing w:line="240" w:lineRule="exact"/>
              <w:jc w:val="center"/>
              <w:rPr>
                <w:rFonts w:ascii="黑体" w:hAnsi="黑体" w:eastAsia="黑体" w:cs="黑体"/>
                <w:szCs w:val="21"/>
              </w:rPr>
            </w:pPr>
          </w:p>
        </w:tc>
        <w:tc>
          <w:tcPr>
            <w:tcW w:w="765"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行政许可</w:t>
            </w:r>
          </w:p>
        </w:tc>
        <w:tc>
          <w:tcPr>
            <w:tcW w:w="1132"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权限内取水许可审批</w:t>
            </w:r>
          </w:p>
        </w:tc>
        <w:tc>
          <w:tcPr>
            <w:tcW w:w="3847" w:type="dxa"/>
            <w:tcBorders>
              <w:left w:val="single" w:color="auto" w:sz="4" w:space="0"/>
              <w:right w:val="single" w:color="auto" w:sz="4" w:space="0"/>
            </w:tcBorders>
            <w:noWrap/>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《中华人民共和国水法》第四十八条</w:t>
            </w:r>
          </w:p>
          <w:p>
            <w:pPr>
              <w:widowControl/>
              <w:spacing w:line="240" w:lineRule="exact"/>
              <w:textAlignment w:val="center"/>
              <w:rPr>
                <w:rFonts w:ascii="宋体" w:hAnsi="宋体" w:cs="宋体"/>
                <w:kern w:val="0"/>
                <w:sz w:val="18"/>
                <w:szCs w:val="18"/>
              </w:rPr>
            </w:pPr>
          </w:p>
        </w:tc>
        <w:tc>
          <w:tcPr>
            <w:tcW w:w="5100" w:type="dxa"/>
            <w:tcBorders>
              <w:left w:val="single" w:color="auto" w:sz="4" w:space="0"/>
              <w:right w:val="single" w:color="auto" w:sz="4" w:space="0"/>
            </w:tcBorders>
            <w:noWrap/>
            <w:vAlign w:val="center"/>
          </w:tcPr>
          <w:p>
            <w:pPr>
              <w:widowControl/>
              <w:spacing w:line="240" w:lineRule="exact"/>
              <w:rPr>
                <w:rFonts w:ascii="宋体" w:hAnsi="宋体"/>
                <w:sz w:val="18"/>
                <w:szCs w:val="18"/>
              </w:rPr>
            </w:pPr>
            <w:r>
              <w:rPr>
                <w:rFonts w:hint="eastAsia" w:ascii="宋体" w:hAnsi="宋体"/>
                <w:sz w:val="18"/>
                <w:szCs w:val="18"/>
              </w:rPr>
              <w:t xml:space="preserve">1.受理责任：公示法定应当提交的材料；一次性告知补正材料；依法受理或不予受理申请（不予受理应当告知理由）。  </w:t>
            </w:r>
          </w:p>
          <w:p>
            <w:pPr>
              <w:widowControl/>
              <w:spacing w:line="240" w:lineRule="exact"/>
              <w:rPr>
                <w:rFonts w:ascii="宋体" w:hAnsi="宋体"/>
                <w:sz w:val="18"/>
                <w:szCs w:val="18"/>
              </w:rPr>
            </w:pPr>
            <w:r>
              <w:rPr>
                <w:rFonts w:hint="eastAsia" w:ascii="宋体" w:hAnsi="宋体"/>
                <w:sz w:val="18"/>
                <w:szCs w:val="18"/>
              </w:rPr>
              <w:t xml:space="preserve">2.审查责任：对申请人提交的申请材料进行审查，提出审查意见。  </w:t>
            </w:r>
          </w:p>
          <w:p>
            <w:pPr>
              <w:widowControl/>
              <w:spacing w:line="240" w:lineRule="exact"/>
              <w:rPr>
                <w:rFonts w:ascii="宋体" w:hAnsi="宋体"/>
                <w:sz w:val="18"/>
                <w:szCs w:val="18"/>
              </w:rPr>
            </w:pPr>
            <w:r>
              <w:rPr>
                <w:rFonts w:hint="eastAsia" w:ascii="宋体" w:hAnsi="宋体"/>
                <w:sz w:val="18"/>
                <w:szCs w:val="18"/>
              </w:rPr>
              <w:t xml:space="preserve">3.决定责任：在规定期限内作出许可或不予许可的书面决定；不予许可应告知理由，并告知相对人申请复议或提起行政诉讼的权利。  </w:t>
            </w:r>
          </w:p>
          <w:p>
            <w:pPr>
              <w:widowControl/>
              <w:spacing w:line="240" w:lineRule="exact"/>
              <w:rPr>
                <w:rFonts w:ascii="宋体" w:hAnsi="宋体"/>
                <w:sz w:val="18"/>
                <w:szCs w:val="18"/>
              </w:rPr>
            </w:pPr>
            <w:r>
              <w:rPr>
                <w:rFonts w:hint="eastAsia" w:ascii="宋体" w:hAnsi="宋体"/>
                <w:sz w:val="18"/>
                <w:szCs w:val="18"/>
              </w:rPr>
              <w:t xml:space="preserve">4.送达责任：在规定期限内  向申请人送达行政许可证件；建立信息档案；公开有关信息。  </w:t>
            </w:r>
          </w:p>
          <w:p>
            <w:pPr>
              <w:widowControl/>
              <w:spacing w:line="240" w:lineRule="exact"/>
              <w:rPr>
                <w:rFonts w:ascii="宋体" w:hAnsi="宋体"/>
                <w:sz w:val="18"/>
                <w:szCs w:val="18"/>
              </w:rPr>
            </w:pPr>
            <w:r>
              <w:rPr>
                <w:rFonts w:hint="eastAsia" w:ascii="宋体" w:hAnsi="宋体"/>
                <w:sz w:val="18"/>
                <w:szCs w:val="18"/>
              </w:rPr>
              <w:t xml:space="preserve">5.事后监管责任：建立实施监督检查的运行机制和管理制度，加强监管。 </w:t>
            </w:r>
          </w:p>
          <w:p>
            <w:pPr>
              <w:widowControl/>
              <w:spacing w:line="240" w:lineRule="exact"/>
              <w:rPr>
                <w:rFonts w:ascii="宋体" w:hAnsi="宋体" w:cs="宋体"/>
                <w:sz w:val="18"/>
                <w:szCs w:val="18"/>
              </w:rPr>
            </w:pPr>
            <w:r>
              <w:rPr>
                <w:rFonts w:hint="eastAsia" w:ascii="宋体" w:hAnsi="宋体"/>
                <w:sz w:val="18"/>
                <w:szCs w:val="18"/>
              </w:rPr>
              <w:t>6.法律法规规章文件规定应履行的其他责任。</w:t>
            </w:r>
          </w:p>
        </w:tc>
        <w:tc>
          <w:tcPr>
            <w:tcW w:w="1072" w:type="dxa"/>
            <w:tcBorders>
              <w:left w:val="single" w:color="auto" w:sz="4" w:space="0"/>
              <w:right w:val="single" w:color="auto" w:sz="4" w:space="0"/>
            </w:tcBorders>
            <w:noWrap/>
            <w:vAlign w:val="center"/>
          </w:tcPr>
          <w:p>
            <w:pPr>
              <w:widowControl/>
              <w:spacing w:line="240" w:lineRule="exact"/>
              <w:rPr>
                <w:rFonts w:ascii="宋体" w:hAnsi="宋体"/>
                <w:sz w:val="18"/>
                <w:szCs w:val="18"/>
              </w:rPr>
            </w:pPr>
            <w:r>
              <w:rPr>
                <w:rFonts w:hint="eastAsia" w:ascii="宋体" w:hAnsi="宋体"/>
                <w:sz w:val="18"/>
                <w:szCs w:val="18"/>
              </w:rPr>
              <w:t>《行政许可法》第三十、三十二、三十四、三十七、三十八、三十九、四十、四十二、四十四、六十一条。</w:t>
            </w:r>
          </w:p>
          <w:p>
            <w:pPr>
              <w:widowControl/>
              <w:spacing w:line="240" w:lineRule="exact"/>
              <w:jc w:val="left"/>
              <w:textAlignment w:val="center"/>
              <w:rPr>
                <w:rFonts w:ascii="宋体" w:hAnsi="宋体" w:cs="宋体"/>
                <w:sz w:val="18"/>
                <w:szCs w:val="18"/>
              </w:rPr>
            </w:pPr>
          </w:p>
        </w:tc>
        <w:tc>
          <w:tcPr>
            <w:tcW w:w="1039" w:type="dxa"/>
            <w:tcBorders>
              <w:left w:val="single" w:color="auto" w:sz="4" w:space="0"/>
              <w:right w:val="single" w:color="auto" w:sz="4" w:space="0"/>
            </w:tcBorders>
            <w:noWrap/>
            <w:vAlign w:val="center"/>
          </w:tcPr>
          <w:p>
            <w:pPr>
              <w:spacing w:line="240" w:lineRule="exact"/>
              <w:rPr>
                <w:rFonts w:ascii="宋体" w:hAnsi="宋体" w:cs="宋体"/>
                <w:sz w:val="18"/>
                <w:szCs w:val="18"/>
              </w:rPr>
            </w:pPr>
            <w:r>
              <w:rPr>
                <w:rFonts w:hint="eastAsia" w:ascii="宋体" w:hAnsi="宋体" w:cs="宋体"/>
                <w:sz w:val="18"/>
                <w:szCs w:val="18"/>
              </w:rPr>
              <w:t>运行服务中心水资源服务股</w:t>
            </w:r>
          </w:p>
        </w:tc>
        <w:tc>
          <w:tcPr>
            <w:tcW w:w="1125" w:type="dxa"/>
            <w:tcBorders>
              <w:left w:val="single" w:color="auto" w:sz="4" w:space="0"/>
              <w:right w:val="single" w:color="auto" w:sz="4" w:space="0"/>
            </w:tcBorders>
            <w:noWrap/>
            <w:vAlign w:val="center"/>
          </w:tcPr>
          <w:p>
            <w:pPr>
              <w:widowControl/>
              <w:spacing w:line="240" w:lineRule="exact"/>
              <w:rPr>
                <w:rFonts w:ascii="宋体" w:hAnsi="宋体" w:cs="宋体"/>
                <w:sz w:val="18"/>
                <w:szCs w:val="18"/>
              </w:rPr>
            </w:pPr>
            <w:r>
              <w:rPr>
                <w:rFonts w:hint="eastAsia" w:ascii="宋体" w:hAnsi="宋体"/>
                <w:sz w:val="18"/>
                <w:szCs w:val="18"/>
              </w:rPr>
              <w:t>单位法定代表人、分管领导、科室负责人、窗口负责任人、具体承办人</w:t>
            </w:r>
          </w:p>
        </w:tc>
        <w:tc>
          <w:tcPr>
            <w:tcW w:w="1079" w:type="dxa"/>
            <w:tcBorders>
              <w:left w:val="single" w:color="auto" w:sz="4" w:space="0"/>
            </w:tcBorders>
            <w:noWrap/>
            <w:vAlign w:val="center"/>
          </w:tcPr>
          <w:p>
            <w:pPr>
              <w:widowControl/>
              <w:spacing w:line="240" w:lineRule="exact"/>
              <w:ind w:left="134" w:leftChars="64" w:right="73" w:rightChars="35"/>
              <w:textAlignment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6" w:hRule="atLeast"/>
        </w:trPr>
        <w:tc>
          <w:tcPr>
            <w:tcW w:w="490" w:type="dxa"/>
            <w:tcBorders>
              <w:right w:val="single" w:color="auto" w:sz="4" w:space="0"/>
            </w:tcBorders>
            <w:noWrap/>
            <w:vAlign w:val="center"/>
          </w:tcPr>
          <w:p>
            <w:pPr>
              <w:numPr>
                <w:ilvl w:val="0"/>
                <w:numId w:val="1"/>
              </w:numPr>
              <w:spacing w:line="240" w:lineRule="exact"/>
              <w:jc w:val="center"/>
              <w:rPr>
                <w:rFonts w:ascii="黑体" w:hAnsi="黑体" w:eastAsia="黑体" w:cs="黑体"/>
                <w:szCs w:val="21"/>
              </w:rPr>
            </w:pPr>
          </w:p>
        </w:tc>
        <w:tc>
          <w:tcPr>
            <w:tcW w:w="765"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行政许可</w:t>
            </w:r>
          </w:p>
        </w:tc>
        <w:tc>
          <w:tcPr>
            <w:tcW w:w="1132"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权限内生产建设项目水土保持方案审批</w:t>
            </w:r>
          </w:p>
        </w:tc>
        <w:tc>
          <w:tcPr>
            <w:tcW w:w="3847" w:type="dxa"/>
            <w:tcBorders>
              <w:left w:val="single" w:color="auto" w:sz="4" w:space="0"/>
              <w:right w:val="single" w:color="auto" w:sz="4" w:space="0"/>
            </w:tcBorders>
            <w:noWrap/>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《中华人民共和国水土保持法》第二十五条</w:t>
            </w:r>
          </w:p>
          <w:p>
            <w:pPr>
              <w:widowControl/>
              <w:spacing w:line="240" w:lineRule="exact"/>
              <w:textAlignment w:val="center"/>
              <w:rPr>
                <w:rFonts w:ascii="宋体" w:hAnsi="宋体" w:cs="宋体"/>
                <w:kern w:val="0"/>
                <w:sz w:val="18"/>
                <w:szCs w:val="18"/>
              </w:rPr>
            </w:pPr>
          </w:p>
        </w:tc>
        <w:tc>
          <w:tcPr>
            <w:tcW w:w="5100" w:type="dxa"/>
            <w:tcBorders>
              <w:left w:val="single" w:color="auto" w:sz="4" w:space="0"/>
              <w:right w:val="single" w:color="auto" w:sz="4" w:space="0"/>
            </w:tcBorders>
            <w:noWrap/>
            <w:vAlign w:val="center"/>
          </w:tcPr>
          <w:p>
            <w:pPr>
              <w:widowControl/>
              <w:spacing w:line="240" w:lineRule="exact"/>
              <w:rPr>
                <w:rFonts w:ascii="宋体" w:hAnsi="宋体"/>
                <w:sz w:val="18"/>
                <w:szCs w:val="18"/>
              </w:rPr>
            </w:pPr>
            <w:r>
              <w:rPr>
                <w:rFonts w:hint="eastAsia" w:ascii="宋体" w:hAnsi="宋体"/>
                <w:sz w:val="18"/>
                <w:szCs w:val="18"/>
              </w:rPr>
              <w:t xml:space="preserve">1.受理责任：公示法定应当提交的材料；一次性告知补正材料；依法受理或不予受理申请（不予受理应当告知理由）。  </w:t>
            </w:r>
          </w:p>
          <w:p>
            <w:pPr>
              <w:widowControl/>
              <w:spacing w:line="240" w:lineRule="exact"/>
              <w:rPr>
                <w:rFonts w:ascii="宋体" w:hAnsi="宋体"/>
                <w:sz w:val="18"/>
                <w:szCs w:val="18"/>
              </w:rPr>
            </w:pPr>
            <w:r>
              <w:rPr>
                <w:rFonts w:hint="eastAsia" w:ascii="宋体" w:hAnsi="宋体"/>
                <w:sz w:val="18"/>
                <w:szCs w:val="18"/>
              </w:rPr>
              <w:t xml:space="preserve">2.审查责任：对申请人提交的申请材料进行审查，提出审查意见。  </w:t>
            </w:r>
          </w:p>
          <w:p>
            <w:pPr>
              <w:widowControl/>
              <w:spacing w:line="240" w:lineRule="exact"/>
              <w:rPr>
                <w:rFonts w:ascii="宋体" w:hAnsi="宋体"/>
                <w:sz w:val="18"/>
                <w:szCs w:val="18"/>
              </w:rPr>
            </w:pPr>
            <w:r>
              <w:rPr>
                <w:rFonts w:hint="eastAsia" w:ascii="宋体" w:hAnsi="宋体"/>
                <w:sz w:val="18"/>
                <w:szCs w:val="18"/>
              </w:rPr>
              <w:t xml:space="preserve">3.决定责任：在规定期限内作出许可或不予许可的书面决定；不予许可应告知理由，并告知相对人申请复议或提起行政诉讼的权利。  </w:t>
            </w:r>
          </w:p>
          <w:p>
            <w:pPr>
              <w:widowControl/>
              <w:spacing w:line="240" w:lineRule="exact"/>
              <w:rPr>
                <w:rFonts w:ascii="宋体" w:hAnsi="宋体"/>
                <w:sz w:val="18"/>
                <w:szCs w:val="18"/>
              </w:rPr>
            </w:pPr>
            <w:r>
              <w:rPr>
                <w:rFonts w:hint="eastAsia" w:ascii="宋体" w:hAnsi="宋体"/>
                <w:sz w:val="18"/>
                <w:szCs w:val="18"/>
              </w:rPr>
              <w:t xml:space="preserve">4.送达责任：在规定期限内  向申请人送达行政许可证件；建立信息档案；公开有关信息。  </w:t>
            </w:r>
          </w:p>
          <w:p>
            <w:pPr>
              <w:widowControl/>
              <w:spacing w:line="240" w:lineRule="exact"/>
              <w:rPr>
                <w:rFonts w:ascii="宋体" w:hAnsi="宋体"/>
                <w:sz w:val="18"/>
                <w:szCs w:val="18"/>
              </w:rPr>
            </w:pPr>
            <w:r>
              <w:rPr>
                <w:rFonts w:hint="eastAsia" w:ascii="宋体" w:hAnsi="宋体"/>
                <w:sz w:val="18"/>
                <w:szCs w:val="18"/>
              </w:rPr>
              <w:t xml:space="preserve">5.事后监管责任：建立实施监督检查的运行机制和管理制度，加强监管。 </w:t>
            </w:r>
          </w:p>
          <w:p>
            <w:pPr>
              <w:widowControl/>
              <w:spacing w:line="240" w:lineRule="exact"/>
              <w:rPr>
                <w:rFonts w:ascii="宋体" w:hAnsi="宋体" w:cs="宋体"/>
                <w:sz w:val="18"/>
                <w:szCs w:val="18"/>
              </w:rPr>
            </w:pPr>
            <w:r>
              <w:rPr>
                <w:rFonts w:hint="eastAsia" w:ascii="宋体" w:hAnsi="宋体"/>
                <w:sz w:val="18"/>
                <w:szCs w:val="18"/>
              </w:rPr>
              <w:t>6.法律法规规章文件规定应履行的其他责任。</w:t>
            </w:r>
          </w:p>
        </w:tc>
        <w:tc>
          <w:tcPr>
            <w:tcW w:w="1072" w:type="dxa"/>
            <w:tcBorders>
              <w:left w:val="single" w:color="auto" w:sz="4" w:space="0"/>
              <w:right w:val="single" w:color="auto" w:sz="4" w:space="0"/>
            </w:tcBorders>
            <w:noWrap/>
            <w:vAlign w:val="center"/>
          </w:tcPr>
          <w:p>
            <w:pPr>
              <w:widowControl/>
              <w:spacing w:line="240" w:lineRule="exact"/>
              <w:rPr>
                <w:rFonts w:ascii="宋体" w:hAnsi="宋体"/>
                <w:sz w:val="18"/>
                <w:szCs w:val="18"/>
              </w:rPr>
            </w:pPr>
            <w:r>
              <w:rPr>
                <w:rFonts w:hint="eastAsia" w:ascii="宋体" w:hAnsi="宋体"/>
                <w:sz w:val="18"/>
                <w:szCs w:val="18"/>
              </w:rPr>
              <w:t>《行政许可法》第三十、三十二、三十四、三十七、三十八、三十九、四十、四十二、四十四、六十一条。</w:t>
            </w:r>
          </w:p>
          <w:p>
            <w:pPr>
              <w:widowControl/>
              <w:spacing w:line="240" w:lineRule="exact"/>
              <w:jc w:val="left"/>
              <w:textAlignment w:val="center"/>
              <w:rPr>
                <w:rFonts w:ascii="宋体" w:hAnsi="宋体" w:cs="宋体"/>
                <w:sz w:val="18"/>
                <w:szCs w:val="18"/>
              </w:rPr>
            </w:pPr>
          </w:p>
        </w:tc>
        <w:tc>
          <w:tcPr>
            <w:tcW w:w="1039" w:type="dxa"/>
            <w:tcBorders>
              <w:left w:val="single" w:color="auto" w:sz="4" w:space="0"/>
              <w:right w:val="single" w:color="auto" w:sz="4" w:space="0"/>
            </w:tcBorders>
            <w:noWrap/>
            <w:vAlign w:val="center"/>
          </w:tcPr>
          <w:p>
            <w:pPr>
              <w:spacing w:line="240" w:lineRule="exact"/>
              <w:rPr>
                <w:rFonts w:ascii="宋体" w:hAnsi="宋体" w:cs="宋体"/>
                <w:sz w:val="18"/>
                <w:szCs w:val="18"/>
              </w:rPr>
            </w:pPr>
            <w:r>
              <w:rPr>
                <w:rFonts w:hint="eastAsia" w:ascii="宋体" w:hAnsi="宋体" w:cs="宋体"/>
                <w:sz w:val="18"/>
                <w:szCs w:val="18"/>
              </w:rPr>
              <w:t>运行服务中心水资源服务股</w:t>
            </w:r>
          </w:p>
        </w:tc>
        <w:tc>
          <w:tcPr>
            <w:tcW w:w="1125" w:type="dxa"/>
            <w:tcBorders>
              <w:left w:val="single" w:color="auto" w:sz="4" w:space="0"/>
              <w:right w:val="single" w:color="auto" w:sz="4" w:space="0"/>
            </w:tcBorders>
            <w:noWrap/>
            <w:vAlign w:val="center"/>
          </w:tcPr>
          <w:p>
            <w:pPr>
              <w:widowControl/>
              <w:spacing w:line="240" w:lineRule="exact"/>
              <w:rPr>
                <w:rFonts w:ascii="宋体" w:hAnsi="宋体" w:cs="宋体"/>
                <w:sz w:val="18"/>
                <w:szCs w:val="18"/>
              </w:rPr>
            </w:pPr>
            <w:r>
              <w:rPr>
                <w:rFonts w:hint="eastAsia" w:ascii="宋体" w:hAnsi="宋体"/>
                <w:sz w:val="18"/>
                <w:szCs w:val="18"/>
              </w:rPr>
              <w:t>单位法定代表人、分管领导、科室负责人、窗口负责人、具体承办人</w:t>
            </w:r>
          </w:p>
        </w:tc>
        <w:tc>
          <w:tcPr>
            <w:tcW w:w="1079" w:type="dxa"/>
            <w:tcBorders>
              <w:left w:val="single" w:color="auto" w:sz="4" w:space="0"/>
            </w:tcBorders>
            <w:noWrap/>
            <w:vAlign w:val="center"/>
          </w:tcPr>
          <w:p>
            <w:pPr>
              <w:widowControl/>
              <w:spacing w:line="240" w:lineRule="exact"/>
              <w:ind w:left="134" w:leftChars="64" w:right="73" w:rightChars="35"/>
              <w:textAlignment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0" w:hRule="atLeast"/>
        </w:trPr>
        <w:tc>
          <w:tcPr>
            <w:tcW w:w="490" w:type="dxa"/>
            <w:tcBorders>
              <w:right w:val="single" w:color="auto" w:sz="4" w:space="0"/>
            </w:tcBorders>
            <w:noWrap/>
            <w:vAlign w:val="center"/>
          </w:tcPr>
          <w:p>
            <w:pPr>
              <w:numPr>
                <w:ilvl w:val="0"/>
                <w:numId w:val="1"/>
              </w:numPr>
              <w:spacing w:line="240" w:lineRule="exact"/>
              <w:jc w:val="center"/>
              <w:rPr>
                <w:rFonts w:ascii="黑体" w:hAnsi="黑体" w:eastAsia="黑体" w:cs="黑体"/>
                <w:szCs w:val="21"/>
              </w:rPr>
            </w:pPr>
          </w:p>
        </w:tc>
        <w:tc>
          <w:tcPr>
            <w:tcW w:w="765"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行政许可</w:t>
            </w:r>
          </w:p>
        </w:tc>
        <w:tc>
          <w:tcPr>
            <w:tcW w:w="1132"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权限内水利基建项目初步设计文件审批</w:t>
            </w:r>
          </w:p>
        </w:tc>
        <w:tc>
          <w:tcPr>
            <w:tcW w:w="3847" w:type="dxa"/>
            <w:tcBorders>
              <w:left w:val="single" w:color="auto" w:sz="4" w:space="0"/>
              <w:right w:val="single" w:color="auto" w:sz="4" w:space="0"/>
            </w:tcBorders>
            <w:noWrap/>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《国务院对确需保留的行政审批项目设定行政许可的决定》（国务院令第671号）第172项</w:t>
            </w:r>
          </w:p>
        </w:tc>
        <w:tc>
          <w:tcPr>
            <w:tcW w:w="5100" w:type="dxa"/>
            <w:tcBorders>
              <w:left w:val="single" w:color="auto" w:sz="4" w:space="0"/>
              <w:right w:val="single" w:color="auto" w:sz="4" w:space="0"/>
            </w:tcBorders>
            <w:noWrap/>
            <w:vAlign w:val="center"/>
          </w:tcPr>
          <w:p>
            <w:pPr>
              <w:widowControl/>
              <w:spacing w:line="240" w:lineRule="exact"/>
              <w:rPr>
                <w:rFonts w:ascii="宋体" w:hAnsi="宋体"/>
                <w:sz w:val="18"/>
                <w:szCs w:val="18"/>
              </w:rPr>
            </w:pPr>
            <w:r>
              <w:rPr>
                <w:rFonts w:hint="eastAsia" w:ascii="宋体" w:hAnsi="宋体"/>
                <w:sz w:val="18"/>
                <w:szCs w:val="18"/>
              </w:rPr>
              <w:t xml:space="preserve">1.受理责任：公示法定应当提交的材料；一次性告知补正材料；依法受理或不予受理申请（不予受理应当告知理由）。  </w:t>
            </w:r>
          </w:p>
          <w:p>
            <w:pPr>
              <w:widowControl/>
              <w:spacing w:line="240" w:lineRule="exact"/>
              <w:rPr>
                <w:rFonts w:ascii="宋体" w:hAnsi="宋体"/>
                <w:sz w:val="18"/>
                <w:szCs w:val="18"/>
              </w:rPr>
            </w:pPr>
            <w:r>
              <w:rPr>
                <w:rFonts w:hint="eastAsia" w:ascii="宋体" w:hAnsi="宋体"/>
                <w:sz w:val="18"/>
                <w:szCs w:val="18"/>
              </w:rPr>
              <w:t xml:space="preserve">2.审查责任：对申请人提交的申请材料进行审查，提出审查意见。  </w:t>
            </w:r>
          </w:p>
          <w:p>
            <w:pPr>
              <w:widowControl/>
              <w:spacing w:line="240" w:lineRule="exact"/>
              <w:rPr>
                <w:rFonts w:ascii="宋体" w:hAnsi="宋体"/>
                <w:sz w:val="18"/>
                <w:szCs w:val="18"/>
              </w:rPr>
            </w:pPr>
            <w:r>
              <w:rPr>
                <w:rFonts w:hint="eastAsia" w:ascii="宋体" w:hAnsi="宋体"/>
                <w:sz w:val="18"/>
                <w:szCs w:val="18"/>
              </w:rPr>
              <w:t xml:space="preserve">3.决定责任：在规定期限内作出许可或不予许可的书面决定；不予许可应告知理由，并告知相对人申请复议或提起行政诉讼的权利。  </w:t>
            </w:r>
          </w:p>
          <w:p>
            <w:pPr>
              <w:widowControl/>
              <w:spacing w:line="240" w:lineRule="exact"/>
              <w:rPr>
                <w:rFonts w:ascii="宋体" w:hAnsi="宋体"/>
                <w:sz w:val="18"/>
                <w:szCs w:val="18"/>
              </w:rPr>
            </w:pPr>
            <w:r>
              <w:rPr>
                <w:rFonts w:hint="eastAsia" w:ascii="宋体" w:hAnsi="宋体"/>
                <w:sz w:val="18"/>
                <w:szCs w:val="18"/>
              </w:rPr>
              <w:t xml:space="preserve">4.送达责任：在规定期限内  向申请人送达行政许可证件；建立信息档案；公开有关信息。  </w:t>
            </w:r>
          </w:p>
          <w:p>
            <w:pPr>
              <w:widowControl/>
              <w:spacing w:line="240" w:lineRule="exact"/>
              <w:rPr>
                <w:rFonts w:ascii="宋体" w:hAnsi="宋体"/>
                <w:sz w:val="18"/>
                <w:szCs w:val="18"/>
              </w:rPr>
            </w:pPr>
            <w:r>
              <w:rPr>
                <w:rFonts w:hint="eastAsia" w:ascii="宋体" w:hAnsi="宋体"/>
                <w:sz w:val="18"/>
                <w:szCs w:val="18"/>
              </w:rPr>
              <w:t xml:space="preserve">5.事后监管责任：建立实施监督检查的运行机制和管理制度，加强监管。 </w:t>
            </w:r>
          </w:p>
          <w:p>
            <w:pPr>
              <w:widowControl/>
              <w:spacing w:line="240" w:lineRule="exact"/>
              <w:rPr>
                <w:rFonts w:ascii="宋体" w:hAnsi="宋体" w:cs="宋体"/>
                <w:sz w:val="18"/>
                <w:szCs w:val="18"/>
              </w:rPr>
            </w:pPr>
            <w:r>
              <w:rPr>
                <w:rFonts w:hint="eastAsia" w:ascii="宋体" w:hAnsi="宋体"/>
                <w:sz w:val="18"/>
                <w:szCs w:val="18"/>
              </w:rPr>
              <w:t>6.法律法规规章文件规定应履行的其他责任。</w:t>
            </w:r>
          </w:p>
        </w:tc>
        <w:tc>
          <w:tcPr>
            <w:tcW w:w="1072" w:type="dxa"/>
            <w:tcBorders>
              <w:left w:val="single" w:color="auto" w:sz="4" w:space="0"/>
              <w:right w:val="single" w:color="auto" w:sz="4" w:space="0"/>
            </w:tcBorders>
            <w:noWrap/>
            <w:vAlign w:val="center"/>
          </w:tcPr>
          <w:p>
            <w:pPr>
              <w:widowControl/>
              <w:spacing w:line="240" w:lineRule="exact"/>
              <w:rPr>
                <w:rFonts w:ascii="宋体" w:hAnsi="宋体"/>
                <w:sz w:val="18"/>
                <w:szCs w:val="18"/>
              </w:rPr>
            </w:pPr>
            <w:r>
              <w:rPr>
                <w:rFonts w:hint="eastAsia" w:ascii="宋体" w:hAnsi="宋体"/>
                <w:sz w:val="18"/>
                <w:szCs w:val="18"/>
              </w:rPr>
              <w:t>《行政许可法》第三十、三十二、三十四、三十七、三十八、三十九、四十、四十二、四十四、六十一条。</w:t>
            </w:r>
          </w:p>
          <w:p>
            <w:pPr>
              <w:widowControl/>
              <w:spacing w:line="240" w:lineRule="exact"/>
              <w:jc w:val="left"/>
              <w:textAlignment w:val="center"/>
              <w:rPr>
                <w:rFonts w:ascii="宋体" w:hAnsi="宋体" w:cs="宋体"/>
                <w:sz w:val="18"/>
                <w:szCs w:val="18"/>
              </w:rPr>
            </w:pPr>
          </w:p>
        </w:tc>
        <w:tc>
          <w:tcPr>
            <w:tcW w:w="1039" w:type="dxa"/>
            <w:tcBorders>
              <w:left w:val="single" w:color="auto" w:sz="4" w:space="0"/>
              <w:right w:val="single" w:color="auto" w:sz="4" w:space="0"/>
            </w:tcBorders>
            <w:noWrap/>
            <w:vAlign w:val="center"/>
          </w:tcPr>
          <w:p>
            <w:pPr>
              <w:spacing w:line="240" w:lineRule="exact"/>
              <w:rPr>
                <w:rFonts w:ascii="宋体" w:hAnsi="宋体" w:cs="宋体"/>
                <w:sz w:val="18"/>
                <w:szCs w:val="18"/>
              </w:rPr>
            </w:pPr>
            <w:r>
              <w:rPr>
                <w:rFonts w:hint="eastAsia" w:ascii="宋体" w:hAnsi="宋体" w:cs="宋体"/>
                <w:sz w:val="18"/>
                <w:szCs w:val="18"/>
              </w:rPr>
              <w:t>水利工程建设服务站</w:t>
            </w:r>
          </w:p>
        </w:tc>
        <w:tc>
          <w:tcPr>
            <w:tcW w:w="1125" w:type="dxa"/>
            <w:tcBorders>
              <w:left w:val="single" w:color="auto" w:sz="4" w:space="0"/>
              <w:right w:val="single" w:color="auto" w:sz="4" w:space="0"/>
            </w:tcBorders>
            <w:noWrap/>
            <w:vAlign w:val="center"/>
          </w:tcPr>
          <w:p>
            <w:pPr>
              <w:widowControl/>
              <w:spacing w:line="240" w:lineRule="exact"/>
              <w:rPr>
                <w:rFonts w:ascii="宋体" w:hAnsi="宋体" w:cs="宋体"/>
                <w:sz w:val="18"/>
                <w:szCs w:val="18"/>
              </w:rPr>
            </w:pPr>
            <w:r>
              <w:rPr>
                <w:rFonts w:hint="eastAsia" w:ascii="宋体" w:hAnsi="宋体"/>
                <w:sz w:val="18"/>
                <w:szCs w:val="18"/>
              </w:rPr>
              <w:t>单位法定代表人、分管领导、科室负责人、窗口负责人、具体承办人</w:t>
            </w:r>
          </w:p>
        </w:tc>
        <w:tc>
          <w:tcPr>
            <w:tcW w:w="1079" w:type="dxa"/>
            <w:tcBorders>
              <w:left w:val="single" w:color="auto" w:sz="4" w:space="0"/>
            </w:tcBorders>
            <w:noWrap/>
            <w:vAlign w:val="center"/>
          </w:tcPr>
          <w:p>
            <w:pPr>
              <w:widowControl/>
              <w:spacing w:line="240" w:lineRule="exact"/>
              <w:ind w:left="134" w:leftChars="64" w:right="73" w:rightChars="35"/>
              <w:textAlignment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7" w:hRule="atLeast"/>
        </w:trPr>
        <w:tc>
          <w:tcPr>
            <w:tcW w:w="490" w:type="dxa"/>
            <w:tcBorders>
              <w:right w:val="single" w:color="auto" w:sz="4" w:space="0"/>
            </w:tcBorders>
            <w:noWrap/>
            <w:vAlign w:val="center"/>
          </w:tcPr>
          <w:p>
            <w:pPr>
              <w:numPr>
                <w:ilvl w:val="0"/>
                <w:numId w:val="1"/>
              </w:numPr>
              <w:spacing w:line="240" w:lineRule="exact"/>
              <w:jc w:val="center"/>
              <w:rPr>
                <w:rFonts w:ascii="黑体" w:hAnsi="黑体" w:eastAsia="黑体" w:cs="黑体"/>
                <w:szCs w:val="21"/>
              </w:rPr>
            </w:pPr>
          </w:p>
        </w:tc>
        <w:tc>
          <w:tcPr>
            <w:tcW w:w="765"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行政许可</w:t>
            </w:r>
          </w:p>
        </w:tc>
        <w:tc>
          <w:tcPr>
            <w:tcW w:w="1132"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农村集体经济组织修建水库初步设计审批</w:t>
            </w:r>
          </w:p>
        </w:tc>
        <w:tc>
          <w:tcPr>
            <w:tcW w:w="3847" w:type="dxa"/>
            <w:tcBorders>
              <w:left w:val="single" w:color="auto" w:sz="4" w:space="0"/>
              <w:right w:val="single" w:color="auto" w:sz="4" w:space="0"/>
            </w:tcBorders>
            <w:noWrap/>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《中华人民共和国水法》第二十五条 第三款</w:t>
            </w:r>
          </w:p>
        </w:tc>
        <w:tc>
          <w:tcPr>
            <w:tcW w:w="5100" w:type="dxa"/>
            <w:tcBorders>
              <w:left w:val="single" w:color="auto" w:sz="4" w:space="0"/>
              <w:right w:val="single" w:color="auto" w:sz="4" w:space="0"/>
            </w:tcBorders>
            <w:noWrap/>
            <w:vAlign w:val="center"/>
          </w:tcPr>
          <w:p>
            <w:pPr>
              <w:widowControl/>
              <w:spacing w:line="240" w:lineRule="exact"/>
              <w:rPr>
                <w:rFonts w:ascii="宋体" w:hAnsi="宋体"/>
                <w:sz w:val="18"/>
                <w:szCs w:val="18"/>
              </w:rPr>
            </w:pPr>
            <w:r>
              <w:rPr>
                <w:rFonts w:hint="eastAsia" w:ascii="宋体" w:hAnsi="宋体"/>
                <w:sz w:val="18"/>
                <w:szCs w:val="18"/>
              </w:rPr>
              <w:t xml:space="preserve">1.受理责任：公示法定应当提交的材料；一次性告知补正材料；依法受理或不予受理申请（不予受理应当告知理由）。  </w:t>
            </w:r>
          </w:p>
          <w:p>
            <w:pPr>
              <w:widowControl/>
              <w:spacing w:line="240" w:lineRule="exact"/>
              <w:rPr>
                <w:rFonts w:ascii="宋体" w:hAnsi="宋体"/>
                <w:sz w:val="18"/>
                <w:szCs w:val="18"/>
              </w:rPr>
            </w:pPr>
            <w:r>
              <w:rPr>
                <w:rFonts w:hint="eastAsia" w:ascii="宋体" w:hAnsi="宋体"/>
                <w:sz w:val="18"/>
                <w:szCs w:val="18"/>
              </w:rPr>
              <w:t xml:space="preserve">2.审查责任：对申请人提交的申请材料进行审查，提出审查意见。  </w:t>
            </w:r>
          </w:p>
          <w:p>
            <w:pPr>
              <w:widowControl/>
              <w:spacing w:line="240" w:lineRule="exact"/>
              <w:rPr>
                <w:rFonts w:ascii="宋体" w:hAnsi="宋体"/>
                <w:sz w:val="18"/>
                <w:szCs w:val="18"/>
              </w:rPr>
            </w:pPr>
            <w:r>
              <w:rPr>
                <w:rFonts w:hint="eastAsia" w:ascii="宋体" w:hAnsi="宋体"/>
                <w:sz w:val="18"/>
                <w:szCs w:val="18"/>
              </w:rPr>
              <w:t xml:space="preserve">3.决定责任：在规定期限内作出许可或不予许可的书面决定；不予许可应告知理由，并告知相对人申请复议或提起行政诉讼的权利。  </w:t>
            </w:r>
          </w:p>
          <w:p>
            <w:pPr>
              <w:widowControl/>
              <w:spacing w:line="240" w:lineRule="exact"/>
              <w:rPr>
                <w:rFonts w:ascii="宋体" w:hAnsi="宋体"/>
                <w:sz w:val="18"/>
                <w:szCs w:val="18"/>
              </w:rPr>
            </w:pPr>
            <w:r>
              <w:rPr>
                <w:rFonts w:hint="eastAsia" w:ascii="宋体" w:hAnsi="宋体"/>
                <w:sz w:val="18"/>
                <w:szCs w:val="18"/>
              </w:rPr>
              <w:t xml:space="preserve">4.送达责任：在规定期限内  向申请人送达行政许可证件；建立信息档案；公开有关信息。  </w:t>
            </w:r>
          </w:p>
          <w:p>
            <w:pPr>
              <w:widowControl/>
              <w:spacing w:line="240" w:lineRule="exact"/>
              <w:rPr>
                <w:rFonts w:ascii="宋体" w:hAnsi="宋体"/>
                <w:sz w:val="18"/>
                <w:szCs w:val="18"/>
              </w:rPr>
            </w:pPr>
            <w:r>
              <w:rPr>
                <w:rFonts w:hint="eastAsia" w:ascii="宋体" w:hAnsi="宋体"/>
                <w:sz w:val="18"/>
                <w:szCs w:val="18"/>
              </w:rPr>
              <w:t xml:space="preserve">5.事后监管责任：建立实施监督检查的运行机制和管理制度，加强监管。 </w:t>
            </w:r>
          </w:p>
          <w:p>
            <w:pPr>
              <w:widowControl/>
              <w:spacing w:line="240" w:lineRule="exact"/>
              <w:rPr>
                <w:rFonts w:ascii="宋体" w:hAnsi="宋体" w:cs="宋体"/>
                <w:sz w:val="18"/>
                <w:szCs w:val="18"/>
              </w:rPr>
            </w:pPr>
            <w:r>
              <w:rPr>
                <w:rFonts w:hint="eastAsia" w:ascii="宋体" w:hAnsi="宋体"/>
                <w:sz w:val="18"/>
                <w:szCs w:val="18"/>
              </w:rPr>
              <w:t>6.法律法规规章文件规定应履行的其他责任。</w:t>
            </w:r>
          </w:p>
        </w:tc>
        <w:tc>
          <w:tcPr>
            <w:tcW w:w="1072" w:type="dxa"/>
            <w:tcBorders>
              <w:left w:val="single" w:color="auto" w:sz="4" w:space="0"/>
              <w:right w:val="single" w:color="auto" w:sz="4" w:space="0"/>
            </w:tcBorders>
            <w:noWrap/>
            <w:vAlign w:val="center"/>
          </w:tcPr>
          <w:p>
            <w:pPr>
              <w:widowControl/>
              <w:spacing w:line="240" w:lineRule="exact"/>
              <w:rPr>
                <w:rFonts w:ascii="宋体" w:hAnsi="宋体"/>
                <w:sz w:val="18"/>
                <w:szCs w:val="18"/>
              </w:rPr>
            </w:pPr>
            <w:r>
              <w:rPr>
                <w:rFonts w:hint="eastAsia" w:ascii="宋体" w:hAnsi="宋体"/>
                <w:sz w:val="18"/>
                <w:szCs w:val="18"/>
              </w:rPr>
              <w:t>《行政许可法》第三十、三十二、三十四、三十七、三十八、三十九、四十、四十二、四十四、六十一条。</w:t>
            </w:r>
          </w:p>
          <w:p>
            <w:pPr>
              <w:widowControl/>
              <w:spacing w:line="240" w:lineRule="exact"/>
              <w:jc w:val="left"/>
              <w:textAlignment w:val="center"/>
              <w:rPr>
                <w:rFonts w:ascii="宋体" w:hAnsi="宋体" w:cs="宋体"/>
                <w:sz w:val="18"/>
                <w:szCs w:val="18"/>
              </w:rPr>
            </w:pPr>
          </w:p>
        </w:tc>
        <w:tc>
          <w:tcPr>
            <w:tcW w:w="1039" w:type="dxa"/>
            <w:tcBorders>
              <w:left w:val="single" w:color="auto" w:sz="4" w:space="0"/>
              <w:right w:val="single" w:color="auto" w:sz="4" w:space="0"/>
            </w:tcBorders>
            <w:noWrap/>
            <w:vAlign w:val="center"/>
          </w:tcPr>
          <w:p>
            <w:pPr>
              <w:spacing w:line="240" w:lineRule="exact"/>
              <w:rPr>
                <w:rFonts w:ascii="宋体" w:hAnsi="宋体" w:cs="宋体"/>
                <w:color w:val="000000"/>
                <w:sz w:val="18"/>
                <w:szCs w:val="18"/>
              </w:rPr>
            </w:pPr>
            <w:r>
              <w:rPr>
                <w:rFonts w:hint="eastAsia" w:ascii="宋体" w:hAnsi="宋体" w:cs="宋体"/>
                <w:sz w:val="18"/>
                <w:szCs w:val="18"/>
              </w:rPr>
              <w:t>水利工程建设服务站</w:t>
            </w:r>
          </w:p>
        </w:tc>
        <w:tc>
          <w:tcPr>
            <w:tcW w:w="1125" w:type="dxa"/>
            <w:tcBorders>
              <w:left w:val="single" w:color="auto" w:sz="4" w:space="0"/>
              <w:right w:val="single" w:color="auto" w:sz="4" w:space="0"/>
            </w:tcBorders>
            <w:noWrap/>
            <w:vAlign w:val="center"/>
          </w:tcPr>
          <w:p>
            <w:pPr>
              <w:widowControl/>
              <w:spacing w:line="240" w:lineRule="exact"/>
              <w:rPr>
                <w:rFonts w:ascii="宋体" w:hAnsi="宋体" w:cs="宋体"/>
                <w:sz w:val="18"/>
                <w:szCs w:val="18"/>
              </w:rPr>
            </w:pPr>
            <w:r>
              <w:rPr>
                <w:rFonts w:hint="eastAsia" w:ascii="宋体" w:hAnsi="宋体"/>
                <w:sz w:val="18"/>
                <w:szCs w:val="18"/>
              </w:rPr>
              <w:t>单位法定代表人、分管领导、科室负责人、窗口负责人、具体承办人</w:t>
            </w:r>
          </w:p>
        </w:tc>
        <w:tc>
          <w:tcPr>
            <w:tcW w:w="1079" w:type="dxa"/>
            <w:tcBorders>
              <w:left w:val="single" w:color="auto" w:sz="4" w:space="0"/>
            </w:tcBorders>
            <w:noWrap/>
            <w:vAlign w:val="center"/>
          </w:tcPr>
          <w:p>
            <w:pPr>
              <w:widowControl/>
              <w:spacing w:line="240" w:lineRule="exact"/>
              <w:ind w:left="134" w:leftChars="64" w:right="73" w:rightChars="35"/>
              <w:textAlignment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1" w:hRule="atLeast"/>
        </w:trPr>
        <w:tc>
          <w:tcPr>
            <w:tcW w:w="490" w:type="dxa"/>
            <w:tcBorders>
              <w:right w:val="single" w:color="auto" w:sz="4" w:space="0"/>
            </w:tcBorders>
            <w:noWrap/>
            <w:vAlign w:val="center"/>
          </w:tcPr>
          <w:p>
            <w:pPr>
              <w:numPr>
                <w:ilvl w:val="0"/>
                <w:numId w:val="1"/>
              </w:numPr>
              <w:spacing w:line="240" w:lineRule="exact"/>
              <w:jc w:val="center"/>
              <w:rPr>
                <w:rFonts w:ascii="黑体" w:hAnsi="黑体" w:eastAsia="黑体" w:cs="黑体"/>
                <w:color w:val="000000" w:themeColor="text1"/>
                <w:szCs w:val="21"/>
              </w:rPr>
            </w:pPr>
          </w:p>
        </w:tc>
        <w:tc>
          <w:tcPr>
            <w:tcW w:w="765"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行政许可</w:t>
            </w:r>
          </w:p>
        </w:tc>
        <w:tc>
          <w:tcPr>
            <w:tcW w:w="1132" w:type="dxa"/>
            <w:tcBorders>
              <w:left w:val="single" w:color="auto" w:sz="4" w:space="0"/>
              <w:right w:val="single" w:color="auto" w:sz="4" w:space="0"/>
            </w:tcBorders>
            <w:noWrap/>
            <w:vAlign w:val="center"/>
          </w:tcPr>
          <w:p>
            <w:pPr>
              <w:widowControl/>
              <w:spacing w:line="240" w:lineRule="exact"/>
              <w:jc w:val="center"/>
              <w:rPr>
                <w:rFonts w:ascii="宋体" w:hAnsi="宋体"/>
                <w:color w:val="000000" w:themeColor="text1"/>
                <w:sz w:val="18"/>
                <w:szCs w:val="18"/>
              </w:rPr>
            </w:pPr>
            <w:r>
              <w:rPr>
                <w:rFonts w:hint="eastAsia" w:ascii="宋体" w:hAnsi="宋体"/>
                <w:color w:val="000000" w:themeColor="text1"/>
                <w:sz w:val="18"/>
                <w:szCs w:val="18"/>
              </w:rPr>
              <w:t>城市排水许可</w:t>
            </w:r>
          </w:p>
        </w:tc>
        <w:tc>
          <w:tcPr>
            <w:tcW w:w="3847" w:type="dxa"/>
            <w:tcBorders>
              <w:left w:val="single" w:color="auto" w:sz="4" w:space="0"/>
              <w:right w:val="single" w:color="auto" w:sz="4" w:space="0"/>
            </w:tcBorders>
            <w:noWrap/>
            <w:vAlign w:val="center"/>
          </w:tcPr>
          <w:p>
            <w:pPr>
              <w:widowControl/>
              <w:spacing w:line="240" w:lineRule="exact"/>
              <w:rPr>
                <w:rFonts w:ascii="宋体" w:hAnsi="宋体"/>
                <w:color w:val="000000" w:themeColor="text1"/>
                <w:sz w:val="18"/>
                <w:szCs w:val="18"/>
              </w:rPr>
            </w:pPr>
            <w:bookmarkStart w:id="0" w:name="21"/>
            <w:r>
              <w:rPr>
                <w:rFonts w:hint="eastAsia" w:ascii="宋体" w:hAnsi="宋体"/>
                <w:color w:val="000000" w:themeColor="text1"/>
                <w:sz w:val="18"/>
                <w:szCs w:val="18"/>
              </w:rPr>
              <w:t>《城镇排水与污水处理条例》第二十一条</w:t>
            </w:r>
            <w:bookmarkEnd w:id="0"/>
            <w:bookmarkStart w:id="1" w:name="22"/>
            <w:r>
              <w:rPr>
                <w:rFonts w:ascii="宋体" w:hAnsi="宋体"/>
                <w:color w:val="000000" w:themeColor="text1"/>
                <w:sz w:val="18"/>
                <w:szCs w:val="18"/>
              </w:rPr>
              <w:t>第二十二条</w:t>
            </w:r>
            <w:bookmarkEnd w:id="1"/>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《国务院对确需</w:t>
            </w:r>
            <w:bookmarkStart w:id="3" w:name="_GoBack"/>
            <w:bookmarkEnd w:id="3"/>
            <w:r>
              <w:rPr>
                <w:rFonts w:hint="eastAsia" w:ascii="宋体" w:hAnsi="宋体"/>
                <w:color w:val="000000" w:themeColor="text1"/>
                <w:sz w:val="18"/>
                <w:szCs w:val="18"/>
              </w:rPr>
              <w:t>保留的行政审批项目设定行政许可的决定》（国务院令第671号）第103项</w:t>
            </w:r>
          </w:p>
        </w:tc>
        <w:tc>
          <w:tcPr>
            <w:tcW w:w="5100" w:type="dxa"/>
            <w:tcBorders>
              <w:left w:val="single" w:color="auto" w:sz="4" w:space="0"/>
              <w:right w:val="single" w:color="auto" w:sz="4" w:space="0"/>
            </w:tcBorders>
            <w:noWrap/>
            <w:vAlign w:val="center"/>
          </w:tcPr>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 xml:space="preserve">1.受理责任：公示法定应当提交的材料；一次性告知补正材料；依法受理或不予受理申请（不予受理应当告知理由）。  </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 xml:space="preserve">2.审查责任：对申请人提交的申请材料进行审查，提出审查意见。  </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 xml:space="preserve">3.决定责任：在规定期限内作出许可或不予许可的书面决定；不予许可应告知理由，并告知相对人申请复议或提起行政诉讼的权利。  </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 xml:space="preserve">4.送达责任：在规定期限内  向申请人送达行政许可证件；建立信息档案；公开有关信息。  </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 xml:space="preserve">5.事后监管责任：建立实施监督检查的运行机制和管理制度，加强监管。 </w:t>
            </w:r>
          </w:p>
          <w:p>
            <w:pPr>
              <w:widowControl/>
              <w:spacing w:line="240" w:lineRule="exact"/>
              <w:rPr>
                <w:rFonts w:ascii="宋体" w:hAnsi="宋体" w:cs="宋体"/>
                <w:color w:val="000000" w:themeColor="text1"/>
                <w:sz w:val="18"/>
                <w:szCs w:val="18"/>
              </w:rPr>
            </w:pPr>
            <w:r>
              <w:rPr>
                <w:rFonts w:hint="eastAsia" w:ascii="宋体" w:hAnsi="宋体"/>
                <w:color w:val="000000" w:themeColor="text1"/>
                <w:sz w:val="18"/>
                <w:szCs w:val="18"/>
              </w:rPr>
              <w:t>6.法律法规规章文件规定应履行的其他责任。</w:t>
            </w:r>
          </w:p>
        </w:tc>
        <w:tc>
          <w:tcPr>
            <w:tcW w:w="1072" w:type="dxa"/>
            <w:tcBorders>
              <w:left w:val="single" w:color="auto" w:sz="4" w:space="0"/>
              <w:right w:val="single" w:color="auto" w:sz="4" w:space="0"/>
            </w:tcBorders>
            <w:noWrap/>
            <w:vAlign w:val="center"/>
          </w:tcPr>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《行政许可法》第三十、三十二、三十四、三十七、三十八、三十九、四十、四十二、四十四、六十一条。</w:t>
            </w:r>
          </w:p>
          <w:p>
            <w:pPr>
              <w:widowControl/>
              <w:spacing w:line="240" w:lineRule="exact"/>
              <w:jc w:val="left"/>
              <w:textAlignment w:val="center"/>
              <w:rPr>
                <w:rFonts w:ascii="宋体" w:hAnsi="宋体" w:cs="宋体"/>
                <w:color w:val="000000" w:themeColor="text1"/>
                <w:sz w:val="18"/>
                <w:szCs w:val="18"/>
              </w:rPr>
            </w:pPr>
          </w:p>
        </w:tc>
        <w:tc>
          <w:tcPr>
            <w:tcW w:w="1039" w:type="dxa"/>
            <w:tcBorders>
              <w:left w:val="single" w:color="auto" w:sz="4" w:space="0"/>
              <w:right w:val="single" w:color="auto" w:sz="4" w:space="0"/>
            </w:tcBorders>
            <w:noWrap/>
            <w:vAlign w:val="center"/>
          </w:tcPr>
          <w:p>
            <w:pPr>
              <w:spacing w:line="240" w:lineRule="exact"/>
              <w:rPr>
                <w:rFonts w:ascii="宋体" w:hAnsi="宋体" w:cs="宋体"/>
                <w:color w:val="000000" w:themeColor="text1"/>
                <w:sz w:val="18"/>
                <w:szCs w:val="18"/>
              </w:rPr>
            </w:pPr>
            <w:r>
              <w:rPr>
                <w:rFonts w:hint="eastAsia" w:ascii="宋体" w:hAnsi="宋体" w:cs="宋体"/>
                <w:color w:val="000000" w:themeColor="text1"/>
                <w:sz w:val="18"/>
                <w:szCs w:val="18"/>
              </w:rPr>
              <w:t>供排水服务中心</w:t>
            </w:r>
          </w:p>
        </w:tc>
        <w:tc>
          <w:tcPr>
            <w:tcW w:w="1125" w:type="dxa"/>
            <w:tcBorders>
              <w:left w:val="single" w:color="auto" w:sz="4" w:space="0"/>
              <w:right w:val="single" w:color="auto" w:sz="4" w:space="0"/>
            </w:tcBorders>
            <w:noWrap/>
            <w:vAlign w:val="center"/>
          </w:tcPr>
          <w:p>
            <w:pPr>
              <w:widowControl/>
              <w:spacing w:line="240" w:lineRule="exact"/>
              <w:rPr>
                <w:rFonts w:ascii="宋体" w:hAnsi="宋体" w:cs="宋体"/>
                <w:color w:val="000000" w:themeColor="text1"/>
                <w:sz w:val="18"/>
                <w:szCs w:val="18"/>
              </w:rPr>
            </w:pPr>
            <w:r>
              <w:rPr>
                <w:rFonts w:hint="eastAsia" w:ascii="宋体" w:hAnsi="宋体"/>
                <w:color w:val="000000" w:themeColor="text1"/>
                <w:sz w:val="18"/>
                <w:szCs w:val="18"/>
              </w:rPr>
              <w:t>单位法定代表人、分管领导、科室负责人、窗口负责人、具体承办人</w:t>
            </w:r>
          </w:p>
        </w:tc>
        <w:tc>
          <w:tcPr>
            <w:tcW w:w="1079" w:type="dxa"/>
            <w:tcBorders>
              <w:left w:val="single" w:color="auto" w:sz="4" w:space="0"/>
            </w:tcBorders>
            <w:noWrap/>
            <w:vAlign w:val="center"/>
          </w:tcPr>
          <w:p>
            <w:pPr>
              <w:widowControl/>
              <w:spacing w:line="240" w:lineRule="exact"/>
              <w:ind w:left="134" w:leftChars="64" w:right="73" w:rightChars="35"/>
              <w:textAlignment w:val="center"/>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8" w:hRule="atLeast"/>
        </w:trPr>
        <w:tc>
          <w:tcPr>
            <w:tcW w:w="490" w:type="dxa"/>
            <w:tcBorders>
              <w:right w:val="single" w:color="auto" w:sz="4" w:space="0"/>
            </w:tcBorders>
            <w:noWrap/>
            <w:vAlign w:val="center"/>
          </w:tcPr>
          <w:p>
            <w:pPr>
              <w:numPr>
                <w:ilvl w:val="0"/>
                <w:numId w:val="1"/>
              </w:numPr>
              <w:spacing w:line="240" w:lineRule="exact"/>
              <w:jc w:val="center"/>
              <w:rPr>
                <w:rFonts w:ascii="黑体" w:hAnsi="黑体" w:eastAsia="黑体" w:cs="黑体"/>
                <w:color w:val="000000" w:themeColor="text1"/>
                <w:szCs w:val="21"/>
              </w:rPr>
            </w:pPr>
          </w:p>
        </w:tc>
        <w:tc>
          <w:tcPr>
            <w:tcW w:w="765"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行政许可</w:t>
            </w:r>
          </w:p>
        </w:tc>
        <w:tc>
          <w:tcPr>
            <w:tcW w:w="1132" w:type="dxa"/>
            <w:tcBorders>
              <w:left w:val="single" w:color="auto" w:sz="4" w:space="0"/>
              <w:right w:val="single" w:color="auto" w:sz="4" w:space="0"/>
            </w:tcBorders>
            <w:noWrap/>
            <w:vAlign w:val="center"/>
          </w:tcPr>
          <w:p>
            <w:pPr>
              <w:widowControl/>
              <w:spacing w:line="240" w:lineRule="exact"/>
              <w:jc w:val="center"/>
              <w:rPr>
                <w:rFonts w:ascii="宋体" w:hAnsi="宋体"/>
                <w:color w:val="000000" w:themeColor="text1"/>
                <w:sz w:val="18"/>
                <w:szCs w:val="18"/>
              </w:rPr>
            </w:pPr>
            <w:r>
              <w:rPr>
                <w:rFonts w:hint="eastAsia" w:ascii="宋体" w:hAnsi="宋体"/>
                <w:color w:val="000000" w:themeColor="text1"/>
                <w:sz w:val="18"/>
                <w:szCs w:val="18"/>
              </w:rPr>
              <w:t>权限内占用农业灌溉水源、灌排工程设施审批</w:t>
            </w:r>
          </w:p>
        </w:tc>
        <w:tc>
          <w:tcPr>
            <w:tcW w:w="3847" w:type="dxa"/>
            <w:tcBorders>
              <w:left w:val="single" w:color="auto" w:sz="4" w:space="0"/>
              <w:right w:val="single" w:color="auto" w:sz="4" w:space="0"/>
            </w:tcBorders>
            <w:noWrap/>
            <w:vAlign w:val="center"/>
          </w:tcPr>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 xml:space="preserve">《国务院对确需保留的行政审批项 </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 xml:space="preserve">目设定行政许可的决定》（2016 年 </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 xml:space="preserve">国务院令第 671 号修正） </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 xml:space="preserve">《农田水利条例》（2016 年国务院 </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 xml:space="preserve">令第 669 号） </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 xml:space="preserve">《国务院关于取消和下放一批行政 </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 xml:space="preserve">审批项目的决定》（国发〔2014〕5 </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号）</w:t>
            </w:r>
          </w:p>
          <w:p>
            <w:pPr>
              <w:widowControl/>
              <w:spacing w:line="240" w:lineRule="exact"/>
              <w:rPr>
                <w:rFonts w:ascii="宋体" w:hAnsi="宋体"/>
                <w:color w:val="000000" w:themeColor="text1"/>
                <w:sz w:val="18"/>
                <w:szCs w:val="18"/>
              </w:rPr>
            </w:pPr>
          </w:p>
        </w:tc>
        <w:tc>
          <w:tcPr>
            <w:tcW w:w="5100" w:type="dxa"/>
            <w:tcBorders>
              <w:left w:val="single" w:color="auto" w:sz="4" w:space="0"/>
              <w:right w:val="single" w:color="auto" w:sz="4" w:space="0"/>
            </w:tcBorders>
            <w:noWrap/>
            <w:vAlign w:val="center"/>
          </w:tcPr>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 xml:space="preserve">1.受理责任：公示法定应当提交的材料；一次性告知补正材料；依法受理或不予受理申请（不予受理应当告知理由）。  </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 xml:space="preserve">2.审查责任：对申请人提交的申请材料进行审查，提出审查意见。  </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 xml:space="preserve">3.决定责任：在规定期限内作出许可或不予许可的书面决定；不予许可应告知理由，并告知相对人申请复议或提起行政诉讼的权利。  </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 xml:space="preserve">4.送达责任：在规定期限内  向申请人送达行政许可证件；建立信息档案；公开有关信息。  </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 xml:space="preserve">5.事后监管责任：建立实施监督检查的运行机制和管理制度，加强监管。 </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6.法律法规规章文件规定应履行的其他责任。</w:t>
            </w:r>
          </w:p>
        </w:tc>
        <w:tc>
          <w:tcPr>
            <w:tcW w:w="1072" w:type="dxa"/>
            <w:tcBorders>
              <w:left w:val="single" w:color="auto" w:sz="4" w:space="0"/>
              <w:right w:val="single" w:color="auto" w:sz="4" w:space="0"/>
            </w:tcBorders>
            <w:noWrap/>
            <w:vAlign w:val="center"/>
          </w:tcPr>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《行政许可法》第三十、三十二、三十四、三十七、三十八、三十九、四十、四十二、四十四、六十一条。</w:t>
            </w:r>
          </w:p>
          <w:p>
            <w:pPr>
              <w:widowControl/>
              <w:spacing w:line="240" w:lineRule="exact"/>
              <w:jc w:val="left"/>
              <w:textAlignment w:val="center"/>
              <w:rPr>
                <w:rFonts w:ascii="宋体" w:hAnsi="宋体" w:cs="宋体"/>
                <w:color w:val="000000" w:themeColor="text1"/>
                <w:sz w:val="18"/>
                <w:szCs w:val="18"/>
              </w:rPr>
            </w:pPr>
          </w:p>
        </w:tc>
        <w:tc>
          <w:tcPr>
            <w:tcW w:w="1039" w:type="dxa"/>
            <w:tcBorders>
              <w:left w:val="single" w:color="auto" w:sz="4" w:space="0"/>
              <w:right w:val="single" w:color="auto" w:sz="4" w:space="0"/>
            </w:tcBorders>
            <w:noWrap/>
            <w:vAlign w:val="center"/>
          </w:tcPr>
          <w:p>
            <w:pPr>
              <w:spacing w:line="240" w:lineRule="exact"/>
              <w:rPr>
                <w:rFonts w:ascii="宋体" w:hAnsi="宋体" w:cs="宋体"/>
                <w:color w:val="000000" w:themeColor="text1"/>
                <w:sz w:val="18"/>
                <w:szCs w:val="18"/>
              </w:rPr>
            </w:pPr>
            <w:r>
              <w:rPr>
                <w:rFonts w:hint="eastAsia" w:ascii="宋体" w:hAnsi="宋体" w:cs="宋体"/>
                <w:color w:val="000000" w:themeColor="text1"/>
                <w:sz w:val="18"/>
                <w:szCs w:val="18"/>
              </w:rPr>
              <w:t>运行服务中心水资源服务股</w:t>
            </w:r>
          </w:p>
        </w:tc>
        <w:tc>
          <w:tcPr>
            <w:tcW w:w="1125" w:type="dxa"/>
            <w:tcBorders>
              <w:left w:val="single" w:color="auto" w:sz="4" w:space="0"/>
              <w:right w:val="single" w:color="auto" w:sz="4" w:space="0"/>
            </w:tcBorders>
            <w:noWrap/>
            <w:vAlign w:val="center"/>
          </w:tcPr>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单位法定代表人、分管领导、科室负责人、窗口负责人、具体承办人</w:t>
            </w:r>
          </w:p>
        </w:tc>
        <w:tc>
          <w:tcPr>
            <w:tcW w:w="1079" w:type="dxa"/>
            <w:tcBorders>
              <w:left w:val="single" w:color="auto" w:sz="4" w:space="0"/>
            </w:tcBorders>
            <w:noWrap/>
            <w:vAlign w:val="center"/>
          </w:tcPr>
          <w:p>
            <w:pPr>
              <w:widowControl/>
              <w:spacing w:line="240" w:lineRule="exact"/>
              <w:ind w:left="134" w:leftChars="64" w:right="73" w:rightChars="35"/>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8" w:hRule="atLeast"/>
        </w:trPr>
        <w:tc>
          <w:tcPr>
            <w:tcW w:w="490" w:type="dxa"/>
            <w:tcBorders>
              <w:right w:val="single" w:color="auto" w:sz="4" w:space="0"/>
            </w:tcBorders>
            <w:noWrap/>
            <w:vAlign w:val="center"/>
          </w:tcPr>
          <w:p>
            <w:pPr>
              <w:numPr>
                <w:ilvl w:val="0"/>
                <w:numId w:val="1"/>
              </w:numPr>
              <w:spacing w:line="240" w:lineRule="exact"/>
              <w:jc w:val="center"/>
              <w:rPr>
                <w:rFonts w:ascii="黑体" w:hAnsi="黑体" w:eastAsia="黑体" w:cs="黑体"/>
                <w:color w:val="000000" w:themeColor="text1"/>
                <w:szCs w:val="21"/>
              </w:rPr>
            </w:pPr>
          </w:p>
        </w:tc>
        <w:tc>
          <w:tcPr>
            <w:tcW w:w="765"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行政许可</w:t>
            </w:r>
          </w:p>
        </w:tc>
        <w:tc>
          <w:tcPr>
            <w:tcW w:w="1132"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因工程建设需要拆除、改动、迁移供水、排水与污水处理设施审核</w:t>
            </w:r>
          </w:p>
        </w:tc>
        <w:tc>
          <w:tcPr>
            <w:tcW w:w="3847"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1.《城市供水条例》 第三十条；</w:t>
            </w:r>
          </w:p>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2.《城镇排水与污水处理条例》 第四十三条。</w:t>
            </w:r>
          </w:p>
        </w:tc>
        <w:tc>
          <w:tcPr>
            <w:tcW w:w="5100"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1.受理责任：公示法定应当提交的材料；一次性告知补正材料；依法受理备案或不予受理备案申请，不予受理备案的说明理由。</w:t>
            </w:r>
          </w:p>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2.审查责任：对申请人提交的申请材料进行审查。</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3.决定责任：在规定期限内出具备案证明。</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4.送达责任：在规定期限内制定并向申请人送达备案证明。</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5.监管责任：加强日常监督检查。</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6.法律法规规章文件规定应履行的其他责任。</w:t>
            </w:r>
          </w:p>
        </w:tc>
        <w:tc>
          <w:tcPr>
            <w:tcW w:w="1072"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1.《城市供水条例》 第三十条；</w:t>
            </w:r>
          </w:p>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2.《城镇排水与污水处理条例》 第四十三条。</w:t>
            </w:r>
          </w:p>
        </w:tc>
        <w:tc>
          <w:tcPr>
            <w:tcW w:w="1039"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sz w:val="18"/>
                <w:szCs w:val="18"/>
              </w:rPr>
            </w:pPr>
            <w:r>
              <w:rPr>
                <w:rFonts w:hint="eastAsia" w:ascii="宋体" w:hAnsi="宋体" w:cs="宋体"/>
                <w:color w:val="000000" w:themeColor="text1"/>
                <w:sz w:val="18"/>
                <w:szCs w:val="18"/>
              </w:rPr>
              <w:t>供排水服务中心</w:t>
            </w:r>
          </w:p>
        </w:tc>
        <w:tc>
          <w:tcPr>
            <w:tcW w:w="1125"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olor w:val="000000" w:themeColor="text1"/>
                <w:sz w:val="18"/>
                <w:szCs w:val="18"/>
              </w:rPr>
              <w:t>单位法定代表人、分管领导、科室负责人、窗口负责人、具体承办人</w:t>
            </w:r>
          </w:p>
        </w:tc>
        <w:tc>
          <w:tcPr>
            <w:tcW w:w="1079" w:type="dxa"/>
            <w:tcBorders>
              <w:lef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7" w:hRule="atLeast"/>
        </w:trPr>
        <w:tc>
          <w:tcPr>
            <w:tcW w:w="490" w:type="dxa"/>
            <w:tcBorders>
              <w:right w:val="single" w:color="auto" w:sz="4" w:space="0"/>
            </w:tcBorders>
            <w:noWrap/>
            <w:vAlign w:val="center"/>
          </w:tcPr>
          <w:p>
            <w:pPr>
              <w:numPr>
                <w:ilvl w:val="0"/>
                <w:numId w:val="1"/>
              </w:numPr>
              <w:spacing w:line="240" w:lineRule="exact"/>
              <w:jc w:val="center"/>
              <w:rPr>
                <w:rFonts w:ascii="黑体" w:hAnsi="黑体" w:eastAsia="黑体" w:cs="黑体"/>
                <w:color w:val="000000" w:themeColor="text1"/>
                <w:szCs w:val="21"/>
              </w:rPr>
            </w:pPr>
          </w:p>
        </w:tc>
        <w:tc>
          <w:tcPr>
            <w:tcW w:w="765"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行政征收</w:t>
            </w:r>
          </w:p>
        </w:tc>
        <w:tc>
          <w:tcPr>
            <w:tcW w:w="1132"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水资源费征收</w:t>
            </w:r>
          </w:p>
        </w:tc>
        <w:tc>
          <w:tcPr>
            <w:tcW w:w="3847"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《取水许可和水资源费征收管理条例》（2017年国务院令第 676 号）第二十八条  </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《贵州省实施〈中华人民共和国水法〉办法》（ 贵州省第十二届人民代表大会常务委员会公告2017第22号）第二十一条</w:t>
            </w:r>
          </w:p>
        </w:tc>
        <w:tc>
          <w:tcPr>
            <w:tcW w:w="5100" w:type="dxa"/>
            <w:tcBorders>
              <w:left w:val="single" w:color="auto" w:sz="4" w:space="0"/>
              <w:right w:val="single" w:color="auto" w:sz="4" w:space="0"/>
            </w:tcBorders>
            <w:noWrap/>
            <w:vAlign w:val="center"/>
          </w:tcPr>
          <w:p>
            <w:pPr>
              <w:widowControl/>
              <w:spacing w:line="240" w:lineRule="exact"/>
              <w:jc w:val="lef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1.起始责任：公告征收的对象、方式、范围等应当公示的内容，并予以解释。</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2.审核责任：对有关材料进行审核，提出审核意见。</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3.决定责任：在规定期限内作出征收决定。</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4.事中事后责任：建立健全事中事后监管措施，加强监管。</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5.法律法规规章文件规定应履行的其他责任。</w:t>
            </w:r>
          </w:p>
        </w:tc>
        <w:tc>
          <w:tcPr>
            <w:tcW w:w="1072" w:type="dxa"/>
            <w:tcBorders>
              <w:left w:val="single" w:color="auto" w:sz="4" w:space="0"/>
              <w:right w:val="single" w:color="auto" w:sz="4" w:space="0"/>
            </w:tcBorders>
            <w:noWrap/>
            <w:vAlign w:val="center"/>
          </w:tcPr>
          <w:p>
            <w:pPr>
              <w:widowControl/>
              <w:spacing w:line="240" w:lineRule="exact"/>
              <w:jc w:val="lef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《中华人民共和国水法》第四十八条</w:t>
            </w:r>
          </w:p>
        </w:tc>
        <w:tc>
          <w:tcPr>
            <w:tcW w:w="1039" w:type="dxa"/>
            <w:tcBorders>
              <w:left w:val="single" w:color="auto" w:sz="4" w:space="0"/>
              <w:right w:val="single" w:color="auto" w:sz="4" w:space="0"/>
            </w:tcBorders>
            <w:noWrap/>
            <w:vAlign w:val="center"/>
          </w:tcPr>
          <w:p>
            <w:pPr>
              <w:spacing w:line="240" w:lineRule="exact"/>
              <w:jc w:val="center"/>
              <w:rPr>
                <w:rFonts w:ascii="宋体" w:hAnsi="宋体" w:cs="宋体"/>
                <w:color w:val="000000" w:themeColor="text1"/>
                <w:sz w:val="18"/>
                <w:szCs w:val="18"/>
              </w:rPr>
            </w:pPr>
            <w:r>
              <w:rPr>
                <w:rFonts w:hint="eastAsia" w:ascii="宋体" w:hAnsi="宋体" w:cs="宋体"/>
                <w:color w:val="000000" w:themeColor="text1"/>
                <w:sz w:val="18"/>
                <w:szCs w:val="18"/>
              </w:rPr>
              <w:t>运行服务中心水资源服务股</w:t>
            </w:r>
          </w:p>
        </w:tc>
        <w:tc>
          <w:tcPr>
            <w:tcW w:w="1125" w:type="dxa"/>
            <w:tcBorders>
              <w:left w:val="single" w:color="auto" w:sz="4" w:space="0"/>
              <w:right w:val="single" w:color="auto" w:sz="4" w:space="0"/>
            </w:tcBorders>
            <w:noWrap/>
            <w:vAlign w:val="center"/>
          </w:tcPr>
          <w:p>
            <w:pPr>
              <w:widowControl/>
              <w:spacing w:line="240" w:lineRule="exact"/>
              <w:rPr>
                <w:rFonts w:ascii="宋体" w:hAnsi="宋体" w:cs="宋体"/>
                <w:color w:val="000000" w:themeColor="text1"/>
                <w:sz w:val="18"/>
                <w:szCs w:val="18"/>
              </w:rPr>
            </w:pPr>
            <w:r>
              <w:rPr>
                <w:rFonts w:hint="eastAsia" w:ascii="宋体" w:hAnsi="宋体"/>
                <w:color w:val="000000" w:themeColor="text1"/>
                <w:sz w:val="18"/>
                <w:szCs w:val="18"/>
              </w:rPr>
              <w:t>单位法定代表人、分管领导、科室负责人、具体承办人</w:t>
            </w:r>
          </w:p>
        </w:tc>
        <w:tc>
          <w:tcPr>
            <w:tcW w:w="1079" w:type="dxa"/>
            <w:tcBorders>
              <w:left w:val="single" w:color="auto" w:sz="4" w:space="0"/>
            </w:tcBorders>
            <w:noWrap/>
            <w:vAlign w:val="center"/>
          </w:tcPr>
          <w:p>
            <w:pPr>
              <w:widowControl/>
              <w:spacing w:line="240" w:lineRule="exact"/>
              <w:ind w:left="134" w:leftChars="64" w:right="73" w:rightChars="35"/>
              <w:textAlignment w:val="center"/>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90" w:type="dxa"/>
            <w:tcBorders>
              <w:right w:val="single" w:color="auto" w:sz="4" w:space="0"/>
            </w:tcBorders>
            <w:noWrap/>
            <w:vAlign w:val="center"/>
          </w:tcPr>
          <w:p>
            <w:pPr>
              <w:numPr>
                <w:ilvl w:val="0"/>
                <w:numId w:val="1"/>
              </w:numPr>
              <w:spacing w:line="240" w:lineRule="exact"/>
              <w:jc w:val="center"/>
              <w:rPr>
                <w:rFonts w:ascii="黑体" w:hAnsi="黑体" w:eastAsia="黑体" w:cs="黑体"/>
                <w:color w:val="000000" w:themeColor="text1"/>
                <w:szCs w:val="21"/>
              </w:rPr>
            </w:pPr>
          </w:p>
        </w:tc>
        <w:tc>
          <w:tcPr>
            <w:tcW w:w="765"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行政征收</w:t>
            </w:r>
          </w:p>
        </w:tc>
        <w:tc>
          <w:tcPr>
            <w:tcW w:w="1132"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污水处理费征收</w:t>
            </w:r>
          </w:p>
        </w:tc>
        <w:tc>
          <w:tcPr>
            <w:tcW w:w="3847"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《城镇排水与污水处理条例》第三十二条第一款</w:t>
            </w:r>
          </w:p>
        </w:tc>
        <w:tc>
          <w:tcPr>
            <w:tcW w:w="5100" w:type="dxa"/>
            <w:tcBorders>
              <w:left w:val="single" w:color="auto" w:sz="4" w:space="0"/>
              <w:right w:val="single" w:color="auto" w:sz="4" w:space="0"/>
            </w:tcBorders>
            <w:noWrap/>
            <w:vAlign w:val="center"/>
          </w:tcPr>
          <w:p>
            <w:pPr>
              <w:widowControl/>
              <w:spacing w:line="240" w:lineRule="exact"/>
              <w:jc w:val="lef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1.起始责任：公告征收的对象、方式、范围等应当公示的内容，并予以解释。</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2.审核责任：对有关材料进行审核，提出审核意见。</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3.决定责任：在规定期限内作出征收决定。</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4.事中事后责任：建立健全事中事后监管措施，加强监管。</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5.法律法规规章文件规定应履行的其他责任。</w:t>
            </w:r>
          </w:p>
        </w:tc>
        <w:tc>
          <w:tcPr>
            <w:tcW w:w="1072" w:type="dxa"/>
            <w:tcBorders>
              <w:left w:val="single" w:color="auto" w:sz="4" w:space="0"/>
              <w:right w:val="single" w:color="auto" w:sz="4" w:space="0"/>
            </w:tcBorders>
            <w:noWrap/>
            <w:vAlign w:val="center"/>
          </w:tcPr>
          <w:p>
            <w:pPr>
              <w:widowControl/>
              <w:spacing w:line="240" w:lineRule="exact"/>
              <w:jc w:val="lef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《城镇排水与污水处理条例》第三十二条第一款</w:t>
            </w:r>
          </w:p>
        </w:tc>
        <w:tc>
          <w:tcPr>
            <w:tcW w:w="1039" w:type="dxa"/>
            <w:tcBorders>
              <w:left w:val="single" w:color="auto" w:sz="4" w:space="0"/>
              <w:right w:val="single" w:color="auto" w:sz="4" w:space="0"/>
            </w:tcBorders>
            <w:noWrap/>
            <w:vAlign w:val="center"/>
          </w:tcPr>
          <w:p>
            <w:pPr>
              <w:spacing w:line="240" w:lineRule="exact"/>
              <w:rPr>
                <w:rFonts w:ascii="宋体" w:hAnsi="宋体" w:cs="宋体"/>
                <w:bCs/>
                <w:color w:val="000000" w:themeColor="text1"/>
                <w:sz w:val="18"/>
                <w:szCs w:val="18"/>
              </w:rPr>
            </w:pPr>
            <w:r>
              <w:rPr>
                <w:rFonts w:hint="eastAsia" w:ascii="宋体" w:hAnsi="宋体" w:cs="宋体"/>
                <w:color w:val="000000" w:themeColor="text1"/>
                <w:sz w:val="18"/>
                <w:szCs w:val="18"/>
              </w:rPr>
              <w:t>供排水服务中心</w:t>
            </w:r>
          </w:p>
        </w:tc>
        <w:tc>
          <w:tcPr>
            <w:tcW w:w="1125" w:type="dxa"/>
            <w:tcBorders>
              <w:left w:val="single" w:color="auto" w:sz="4" w:space="0"/>
              <w:right w:val="single" w:color="auto" w:sz="4" w:space="0"/>
            </w:tcBorders>
            <w:noWrap/>
            <w:vAlign w:val="center"/>
          </w:tcPr>
          <w:p>
            <w:pPr>
              <w:widowControl/>
              <w:spacing w:line="240" w:lineRule="exact"/>
              <w:rPr>
                <w:rFonts w:ascii="宋体" w:hAnsi="宋体" w:cs="宋体"/>
                <w:color w:val="000000" w:themeColor="text1"/>
                <w:sz w:val="18"/>
                <w:szCs w:val="18"/>
              </w:rPr>
            </w:pPr>
            <w:r>
              <w:rPr>
                <w:rFonts w:hint="eastAsia" w:ascii="宋体" w:hAnsi="宋体"/>
                <w:color w:val="000000" w:themeColor="text1"/>
                <w:sz w:val="18"/>
                <w:szCs w:val="18"/>
              </w:rPr>
              <w:t>单位法定代表人、分管领导、科室负责人、具体承办人</w:t>
            </w:r>
          </w:p>
        </w:tc>
        <w:tc>
          <w:tcPr>
            <w:tcW w:w="1079" w:type="dxa"/>
            <w:tcBorders>
              <w:left w:val="single" w:color="auto" w:sz="4" w:space="0"/>
            </w:tcBorders>
            <w:noWrap/>
            <w:vAlign w:val="center"/>
          </w:tcPr>
          <w:p>
            <w:pPr>
              <w:widowControl/>
              <w:spacing w:line="240" w:lineRule="exact"/>
              <w:ind w:left="134" w:leftChars="64" w:right="73" w:rightChars="35"/>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90" w:type="dxa"/>
            <w:tcBorders>
              <w:right w:val="single" w:color="auto" w:sz="4" w:space="0"/>
            </w:tcBorders>
            <w:noWrap/>
            <w:vAlign w:val="center"/>
          </w:tcPr>
          <w:p>
            <w:pPr>
              <w:numPr>
                <w:ilvl w:val="0"/>
                <w:numId w:val="1"/>
              </w:numPr>
              <w:spacing w:line="240" w:lineRule="exact"/>
              <w:jc w:val="center"/>
              <w:rPr>
                <w:rFonts w:ascii="黑体" w:hAnsi="黑体" w:eastAsia="黑体" w:cs="黑体"/>
                <w:color w:val="000000" w:themeColor="text1"/>
                <w:szCs w:val="21"/>
              </w:rPr>
            </w:pPr>
          </w:p>
        </w:tc>
        <w:tc>
          <w:tcPr>
            <w:tcW w:w="765"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行政检查</w:t>
            </w:r>
          </w:p>
        </w:tc>
        <w:tc>
          <w:tcPr>
            <w:tcW w:w="1132"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水资源管理监督检查</w:t>
            </w:r>
          </w:p>
        </w:tc>
        <w:tc>
          <w:tcPr>
            <w:tcW w:w="3847"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《中华人民共和国水法》第十二条第四款</w:t>
            </w:r>
          </w:p>
        </w:tc>
        <w:tc>
          <w:tcPr>
            <w:tcW w:w="5100" w:type="dxa"/>
            <w:tcBorders>
              <w:left w:val="single" w:color="auto" w:sz="4" w:space="0"/>
              <w:right w:val="single" w:color="auto" w:sz="4" w:space="0"/>
            </w:tcBorders>
            <w:noWrap/>
            <w:vAlign w:val="center"/>
          </w:tcPr>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1.检查责任：定期根据法律法规对相关工作开展检查。</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2.处置责任：根据有关规定作出相应处置措施。</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3.事后管理责任：对检查情况进行汇总、分类、归档备查，并跟踪监测。</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4.其他法律法规规章文件规定应履行的责任。</w:t>
            </w:r>
          </w:p>
          <w:p>
            <w:pPr>
              <w:widowControl/>
              <w:spacing w:line="240" w:lineRule="exact"/>
              <w:jc w:val="left"/>
              <w:textAlignment w:val="center"/>
              <w:rPr>
                <w:rFonts w:ascii="宋体" w:hAnsi="宋体" w:cs="宋体"/>
                <w:color w:val="000000" w:themeColor="text1"/>
                <w:kern w:val="0"/>
                <w:sz w:val="18"/>
                <w:szCs w:val="18"/>
              </w:rPr>
            </w:pPr>
          </w:p>
        </w:tc>
        <w:tc>
          <w:tcPr>
            <w:tcW w:w="1072" w:type="dxa"/>
            <w:tcBorders>
              <w:left w:val="single" w:color="auto" w:sz="4" w:space="0"/>
              <w:right w:val="single" w:color="auto" w:sz="4" w:space="0"/>
            </w:tcBorders>
            <w:noWrap/>
            <w:vAlign w:val="center"/>
          </w:tcPr>
          <w:p>
            <w:pPr>
              <w:widowControl/>
              <w:spacing w:line="240" w:lineRule="exact"/>
              <w:jc w:val="lef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《中华人民共和国水法》第十二条第四款</w:t>
            </w:r>
          </w:p>
        </w:tc>
        <w:tc>
          <w:tcPr>
            <w:tcW w:w="1039" w:type="dxa"/>
            <w:tcBorders>
              <w:left w:val="single" w:color="auto" w:sz="4" w:space="0"/>
              <w:right w:val="single" w:color="auto" w:sz="4" w:space="0"/>
            </w:tcBorders>
            <w:noWrap/>
            <w:vAlign w:val="center"/>
          </w:tcPr>
          <w:p>
            <w:pPr>
              <w:spacing w:line="240" w:lineRule="exact"/>
              <w:rPr>
                <w:rFonts w:ascii="宋体" w:hAnsi="宋体" w:cs="宋体"/>
                <w:color w:val="000000" w:themeColor="text1"/>
                <w:sz w:val="18"/>
                <w:szCs w:val="18"/>
              </w:rPr>
            </w:pPr>
            <w:r>
              <w:rPr>
                <w:rFonts w:hint="eastAsia" w:ascii="宋体" w:hAnsi="宋体" w:cs="宋体"/>
                <w:color w:val="000000" w:themeColor="text1"/>
                <w:sz w:val="18"/>
                <w:szCs w:val="18"/>
              </w:rPr>
              <w:t>运行服务中心水资源服务股</w:t>
            </w:r>
          </w:p>
        </w:tc>
        <w:tc>
          <w:tcPr>
            <w:tcW w:w="1125" w:type="dxa"/>
            <w:tcBorders>
              <w:left w:val="single" w:color="auto" w:sz="4" w:space="0"/>
              <w:right w:val="single" w:color="auto" w:sz="4" w:space="0"/>
            </w:tcBorders>
            <w:noWrap/>
            <w:vAlign w:val="center"/>
          </w:tcPr>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单位法定代表人、分管领导、科室负责人、具体承办人</w:t>
            </w:r>
          </w:p>
        </w:tc>
        <w:tc>
          <w:tcPr>
            <w:tcW w:w="1079" w:type="dxa"/>
            <w:tcBorders>
              <w:left w:val="single" w:color="auto" w:sz="4" w:space="0"/>
            </w:tcBorders>
            <w:noWrap/>
            <w:vAlign w:val="center"/>
          </w:tcPr>
          <w:p>
            <w:pPr>
              <w:widowControl/>
              <w:spacing w:line="240" w:lineRule="exact"/>
              <w:ind w:left="134" w:leftChars="64" w:right="73" w:rightChars="35"/>
              <w:textAlignment w:val="center"/>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90" w:type="dxa"/>
            <w:tcBorders>
              <w:right w:val="single" w:color="auto" w:sz="4" w:space="0"/>
            </w:tcBorders>
            <w:noWrap/>
            <w:vAlign w:val="center"/>
          </w:tcPr>
          <w:p>
            <w:pPr>
              <w:numPr>
                <w:ilvl w:val="0"/>
                <w:numId w:val="1"/>
              </w:numPr>
              <w:spacing w:line="240" w:lineRule="exact"/>
              <w:jc w:val="center"/>
              <w:rPr>
                <w:rFonts w:ascii="黑体" w:hAnsi="黑体" w:eastAsia="黑体" w:cs="黑体"/>
                <w:color w:val="000000" w:themeColor="text1"/>
                <w:szCs w:val="21"/>
              </w:rPr>
            </w:pPr>
          </w:p>
        </w:tc>
        <w:tc>
          <w:tcPr>
            <w:tcW w:w="765"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行政检查</w:t>
            </w:r>
          </w:p>
        </w:tc>
        <w:tc>
          <w:tcPr>
            <w:tcW w:w="1132"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水利工程建设项目及水利工程建设市场主体监督检查</w:t>
            </w:r>
          </w:p>
        </w:tc>
        <w:tc>
          <w:tcPr>
            <w:tcW w:w="3847"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《水利工程质量管理规定》（水利部令第7号）第十三条</w:t>
            </w:r>
          </w:p>
        </w:tc>
        <w:tc>
          <w:tcPr>
            <w:tcW w:w="5100" w:type="dxa"/>
            <w:tcBorders>
              <w:left w:val="single" w:color="auto" w:sz="4" w:space="0"/>
              <w:right w:val="single" w:color="auto" w:sz="4" w:space="0"/>
            </w:tcBorders>
            <w:noWrap/>
            <w:vAlign w:val="center"/>
          </w:tcPr>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1.检查责任：定期根据法律法规对相关工作开展检查。</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2.处置责任：根据有关规定作出相应处置措施。</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3.事后管理责任：对检查情况进行汇总、分类、归档备查，并跟踪监测。</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4.其他法律法规规章文件规定应履行的责任。</w:t>
            </w:r>
          </w:p>
          <w:p>
            <w:pPr>
              <w:widowControl/>
              <w:spacing w:line="240" w:lineRule="exact"/>
              <w:jc w:val="left"/>
              <w:textAlignment w:val="center"/>
              <w:rPr>
                <w:rFonts w:ascii="宋体" w:hAnsi="宋体" w:cs="宋体"/>
                <w:color w:val="000000" w:themeColor="text1"/>
                <w:kern w:val="0"/>
                <w:sz w:val="18"/>
                <w:szCs w:val="18"/>
              </w:rPr>
            </w:pPr>
          </w:p>
        </w:tc>
        <w:tc>
          <w:tcPr>
            <w:tcW w:w="1072" w:type="dxa"/>
            <w:tcBorders>
              <w:left w:val="single" w:color="auto" w:sz="4" w:space="0"/>
              <w:right w:val="single" w:color="auto" w:sz="4" w:space="0"/>
            </w:tcBorders>
            <w:noWrap/>
            <w:vAlign w:val="center"/>
          </w:tcPr>
          <w:p>
            <w:pPr>
              <w:widowControl/>
              <w:spacing w:line="240" w:lineRule="exact"/>
              <w:jc w:val="lef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《水利工程质量管理规定》（水利部令第7号）第十三条</w:t>
            </w:r>
          </w:p>
        </w:tc>
        <w:tc>
          <w:tcPr>
            <w:tcW w:w="1039" w:type="dxa"/>
            <w:tcBorders>
              <w:left w:val="single" w:color="auto" w:sz="4" w:space="0"/>
              <w:right w:val="single" w:color="auto" w:sz="4" w:space="0"/>
            </w:tcBorders>
            <w:noWrap/>
            <w:vAlign w:val="center"/>
          </w:tcPr>
          <w:p>
            <w:pPr>
              <w:spacing w:line="240" w:lineRule="exact"/>
              <w:rPr>
                <w:rFonts w:ascii="宋体" w:hAnsi="宋体" w:cs="宋体"/>
                <w:color w:val="000000" w:themeColor="text1"/>
                <w:sz w:val="18"/>
                <w:szCs w:val="18"/>
              </w:rPr>
            </w:pPr>
            <w:r>
              <w:rPr>
                <w:rFonts w:hint="eastAsia" w:ascii="宋体" w:hAnsi="宋体" w:cs="宋体"/>
                <w:color w:val="000000" w:themeColor="text1"/>
                <w:sz w:val="18"/>
                <w:szCs w:val="18"/>
              </w:rPr>
              <w:t>质量监督股</w:t>
            </w:r>
          </w:p>
        </w:tc>
        <w:tc>
          <w:tcPr>
            <w:tcW w:w="1125" w:type="dxa"/>
            <w:tcBorders>
              <w:left w:val="single" w:color="auto" w:sz="4" w:space="0"/>
              <w:right w:val="single" w:color="auto" w:sz="4" w:space="0"/>
            </w:tcBorders>
            <w:noWrap/>
            <w:vAlign w:val="center"/>
          </w:tcPr>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单位法定代表人、分管领导、科室负责人、具体承办人</w:t>
            </w:r>
          </w:p>
        </w:tc>
        <w:tc>
          <w:tcPr>
            <w:tcW w:w="1079" w:type="dxa"/>
            <w:tcBorders>
              <w:left w:val="single" w:color="auto" w:sz="4" w:space="0"/>
            </w:tcBorders>
            <w:noWrap/>
            <w:vAlign w:val="center"/>
          </w:tcPr>
          <w:p>
            <w:pPr>
              <w:widowControl/>
              <w:spacing w:line="240" w:lineRule="exact"/>
              <w:ind w:left="134" w:leftChars="64" w:right="73" w:rightChars="35"/>
              <w:textAlignment w:val="center"/>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1" w:hRule="atLeast"/>
        </w:trPr>
        <w:tc>
          <w:tcPr>
            <w:tcW w:w="490" w:type="dxa"/>
            <w:tcBorders>
              <w:right w:val="single" w:color="auto" w:sz="4" w:space="0"/>
            </w:tcBorders>
            <w:noWrap/>
            <w:vAlign w:val="center"/>
          </w:tcPr>
          <w:p>
            <w:pPr>
              <w:numPr>
                <w:ilvl w:val="0"/>
                <w:numId w:val="1"/>
              </w:numPr>
              <w:spacing w:line="240" w:lineRule="exact"/>
              <w:jc w:val="center"/>
              <w:rPr>
                <w:rFonts w:ascii="黑体" w:hAnsi="黑体" w:eastAsia="黑体" w:cs="黑体"/>
                <w:color w:val="000000" w:themeColor="text1"/>
                <w:szCs w:val="21"/>
              </w:rPr>
            </w:pPr>
          </w:p>
        </w:tc>
        <w:tc>
          <w:tcPr>
            <w:tcW w:w="765"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行政检查</w:t>
            </w:r>
          </w:p>
        </w:tc>
        <w:tc>
          <w:tcPr>
            <w:tcW w:w="1132"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水土保持检查</w:t>
            </w:r>
          </w:p>
        </w:tc>
        <w:tc>
          <w:tcPr>
            <w:tcW w:w="3847"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《中华人民共和国水土保持法》第二十九条 第四十三条</w:t>
            </w:r>
          </w:p>
        </w:tc>
        <w:tc>
          <w:tcPr>
            <w:tcW w:w="5100" w:type="dxa"/>
            <w:tcBorders>
              <w:left w:val="single" w:color="auto" w:sz="4" w:space="0"/>
              <w:right w:val="single" w:color="auto" w:sz="4" w:space="0"/>
            </w:tcBorders>
            <w:noWrap/>
            <w:vAlign w:val="center"/>
          </w:tcPr>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1.检查责任：定期根据法律法规对相关工作开展检查。</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2.处置责任：根据有关规定作出相应处置措施。</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3.事后管理责任：对检查情况进行汇总、分类、归档备查，并跟踪监测。</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4.其他法律法规规章文件规定应履行的责任。</w:t>
            </w:r>
          </w:p>
          <w:p>
            <w:pPr>
              <w:widowControl/>
              <w:spacing w:line="240" w:lineRule="exact"/>
              <w:jc w:val="left"/>
              <w:textAlignment w:val="center"/>
              <w:rPr>
                <w:rFonts w:ascii="宋体" w:hAnsi="宋体" w:cs="宋体"/>
                <w:color w:val="000000" w:themeColor="text1"/>
                <w:sz w:val="18"/>
                <w:szCs w:val="18"/>
              </w:rPr>
            </w:pPr>
          </w:p>
        </w:tc>
        <w:tc>
          <w:tcPr>
            <w:tcW w:w="1072" w:type="dxa"/>
            <w:tcBorders>
              <w:left w:val="single" w:color="auto" w:sz="4" w:space="0"/>
              <w:right w:val="single" w:color="auto" w:sz="4" w:space="0"/>
            </w:tcBorders>
            <w:noWrap/>
            <w:vAlign w:val="center"/>
          </w:tcPr>
          <w:p>
            <w:pPr>
              <w:widowControl/>
              <w:spacing w:line="240" w:lineRule="exact"/>
              <w:jc w:val="lef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《中华人民共和国水土保持法》第二十九条</w:t>
            </w:r>
          </w:p>
        </w:tc>
        <w:tc>
          <w:tcPr>
            <w:tcW w:w="1039" w:type="dxa"/>
            <w:tcBorders>
              <w:left w:val="single" w:color="auto" w:sz="4" w:space="0"/>
              <w:right w:val="single" w:color="auto" w:sz="4" w:space="0"/>
            </w:tcBorders>
            <w:noWrap/>
            <w:vAlign w:val="center"/>
          </w:tcPr>
          <w:p>
            <w:pPr>
              <w:spacing w:line="240" w:lineRule="exact"/>
              <w:rPr>
                <w:rFonts w:ascii="宋体" w:hAnsi="宋体" w:cs="宋体"/>
                <w:color w:val="000000" w:themeColor="text1"/>
                <w:sz w:val="18"/>
                <w:szCs w:val="18"/>
              </w:rPr>
            </w:pPr>
            <w:r>
              <w:rPr>
                <w:rFonts w:hint="eastAsia" w:ascii="宋体" w:hAnsi="宋体" w:cs="宋体"/>
                <w:color w:val="000000" w:themeColor="text1"/>
                <w:sz w:val="18"/>
                <w:szCs w:val="18"/>
              </w:rPr>
              <w:t>运行服务中心水资源服务股</w:t>
            </w:r>
          </w:p>
        </w:tc>
        <w:tc>
          <w:tcPr>
            <w:tcW w:w="1125" w:type="dxa"/>
            <w:tcBorders>
              <w:left w:val="single" w:color="auto" w:sz="4" w:space="0"/>
              <w:right w:val="single" w:color="auto" w:sz="4" w:space="0"/>
            </w:tcBorders>
            <w:noWrap/>
            <w:vAlign w:val="center"/>
          </w:tcPr>
          <w:p>
            <w:pPr>
              <w:widowControl/>
              <w:spacing w:line="240" w:lineRule="exact"/>
              <w:rPr>
                <w:rFonts w:ascii="宋体" w:hAnsi="宋体" w:cs="宋体"/>
                <w:color w:val="000000" w:themeColor="text1"/>
                <w:sz w:val="18"/>
                <w:szCs w:val="18"/>
              </w:rPr>
            </w:pPr>
            <w:r>
              <w:rPr>
                <w:rFonts w:hint="eastAsia" w:ascii="宋体" w:hAnsi="宋体"/>
                <w:color w:val="000000" w:themeColor="text1"/>
                <w:sz w:val="18"/>
                <w:szCs w:val="18"/>
              </w:rPr>
              <w:t>单位法定代表人、分管领导、科室负责人、具体承办人</w:t>
            </w:r>
          </w:p>
        </w:tc>
        <w:tc>
          <w:tcPr>
            <w:tcW w:w="1079" w:type="dxa"/>
            <w:tcBorders>
              <w:left w:val="single" w:color="auto" w:sz="4" w:space="0"/>
            </w:tcBorders>
            <w:noWrap/>
            <w:vAlign w:val="center"/>
          </w:tcPr>
          <w:p>
            <w:pPr>
              <w:widowControl/>
              <w:spacing w:line="240" w:lineRule="exact"/>
              <w:ind w:left="134" w:leftChars="64" w:right="73" w:rightChars="35"/>
              <w:textAlignment w:val="center"/>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6" w:hRule="atLeast"/>
        </w:trPr>
        <w:tc>
          <w:tcPr>
            <w:tcW w:w="490" w:type="dxa"/>
            <w:tcBorders>
              <w:right w:val="single" w:color="auto" w:sz="4" w:space="0"/>
            </w:tcBorders>
            <w:noWrap/>
            <w:vAlign w:val="center"/>
          </w:tcPr>
          <w:p>
            <w:pPr>
              <w:numPr>
                <w:ilvl w:val="0"/>
                <w:numId w:val="1"/>
              </w:numPr>
              <w:spacing w:line="240" w:lineRule="exact"/>
              <w:jc w:val="center"/>
              <w:rPr>
                <w:rFonts w:ascii="黑体" w:hAnsi="黑体" w:eastAsia="黑体" w:cs="黑体"/>
                <w:color w:val="000000" w:themeColor="text1"/>
                <w:szCs w:val="21"/>
              </w:rPr>
            </w:pPr>
          </w:p>
        </w:tc>
        <w:tc>
          <w:tcPr>
            <w:tcW w:w="765"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行政检查</w:t>
            </w:r>
          </w:p>
        </w:tc>
        <w:tc>
          <w:tcPr>
            <w:tcW w:w="1132"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对城镇排水与污水处理设施运行维护和保护情况的监督检查</w:t>
            </w:r>
          </w:p>
        </w:tc>
        <w:tc>
          <w:tcPr>
            <w:tcW w:w="3847"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《城镇排水与污水处理条例》第四十四条第一款</w:t>
            </w:r>
          </w:p>
        </w:tc>
        <w:tc>
          <w:tcPr>
            <w:tcW w:w="5100" w:type="dxa"/>
            <w:tcBorders>
              <w:left w:val="single" w:color="auto" w:sz="4" w:space="0"/>
              <w:right w:val="single" w:color="auto" w:sz="4" w:space="0"/>
            </w:tcBorders>
            <w:noWrap/>
            <w:vAlign w:val="center"/>
          </w:tcPr>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1.检查责任：定期根据法律法规对相关工作开展检查。</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2.处置责任：根据有关规定作出相应处置措施。</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3.事后管理责任：对检查情况进行汇总、分类、归档备查，并跟踪监测。</w:t>
            </w:r>
          </w:p>
          <w:p>
            <w:pPr>
              <w:widowControl/>
              <w:spacing w:line="240" w:lineRule="exact"/>
              <w:rPr>
                <w:rFonts w:ascii="宋体" w:hAnsi="宋体" w:cs="宋体"/>
                <w:color w:val="000000" w:themeColor="text1"/>
                <w:sz w:val="18"/>
                <w:szCs w:val="18"/>
              </w:rPr>
            </w:pPr>
            <w:r>
              <w:rPr>
                <w:rFonts w:hint="eastAsia" w:ascii="宋体" w:hAnsi="宋体"/>
                <w:color w:val="000000" w:themeColor="text1"/>
                <w:sz w:val="18"/>
                <w:szCs w:val="18"/>
              </w:rPr>
              <w:t>4.其他法律法规规章文件规定应履行的责任。</w:t>
            </w:r>
          </w:p>
        </w:tc>
        <w:tc>
          <w:tcPr>
            <w:tcW w:w="1072" w:type="dxa"/>
            <w:tcBorders>
              <w:left w:val="single" w:color="auto" w:sz="4" w:space="0"/>
              <w:right w:val="single" w:color="auto" w:sz="4" w:space="0"/>
            </w:tcBorders>
            <w:noWrap/>
            <w:vAlign w:val="center"/>
          </w:tcPr>
          <w:p>
            <w:pPr>
              <w:widowControl/>
              <w:spacing w:line="240" w:lineRule="exact"/>
              <w:jc w:val="left"/>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《城镇排水与污水处理条例》第四十四条第一款</w:t>
            </w:r>
          </w:p>
        </w:tc>
        <w:tc>
          <w:tcPr>
            <w:tcW w:w="1039" w:type="dxa"/>
            <w:tcBorders>
              <w:left w:val="single" w:color="auto" w:sz="4" w:space="0"/>
              <w:right w:val="single" w:color="auto" w:sz="4" w:space="0"/>
            </w:tcBorders>
            <w:noWrap/>
            <w:vAlign w:val="center"/>
          </w:tcPr>
          <w:p>
            <w:pPr>
              <w:spacing w:line="240" w:lineRule="exact"/>
              <w:rPr>
                <w:rFonts w:ascii="宋体" w:hAnsi="宋体" w:cs="宋体"/>
                <w:b/>
                <w:bCs/>
                <w:color w:val="000000" w:themeColor="text1"/>
                <w:sz w:val="18"/>
                <w:szCs w:val="18"/>
              </w:rPr>
            </w:pPr>
            <w:r>
              <w:rPr>
                <w:rFonts w:hint="eastAsia" w:ascii="宋体" w:hAnsi="宋体" w:cs="宋体"/>
                <w:color w:val="000000" w:themeColor="text1"/>
                <w:sz w:val="18"/>
                <w:szCs w:val="18"/>
              </w:rPr>
              <w:t>供排水服务中心</w:t>
            </w:r>
          </w:p>
        </w:tc>
        <w:tc>
          <w:tcPr>
            <w:tcW w:w="1125" w:type="dxa"/>
            <w:tcBorders>
              <w:left w:val="single" w:color="auto" w:sz="4" w:space="0"/>
              <w:right w:val="single" w:color="auto" w:sz="4" w:space="0"/>
            </w:tcBorders>
            <w:noWrap/>
            <w:vAlign w:val="center"/>
          </w:tcPr>
          <w:p>
            <w:pPr>
              <w:widowControl/>
              <w:spacing w:line="240" w:lineRule="exact"/>
              <w:rPr>
                <w:rFonts w:ascii="宋体" w:hAnsi="宋体" w:cs="宋体"/>
                <w:color w:val="000000" w:themeColor="text1"/>
                <w:sz w:val="18"/>
                <w:szCs w:val="18"/>
              </w:rPr>
            </w:pPr>
            <w:r>
              <w:rPr>
                <w:rFonts w:hint="eastAsia" w:ascii="宋体" w:hAnsi="宋体"/>
                <w:color w:val="000000" w:themeColor="text1"/>
                <w:sz w:val="18"/>
                <w:szCs w:val="18"/>
              </w:rPr>
              <w:t>单位法定代表人、分管领导、科室负责人、具体承办人</w:t>
            </w:r>
          </w:p>
        </w:tc>
        <w:tc>
          <w:tcPr>
            <w:tcW w:w="1079" w:type="dxa"/>
            <w:tcBorders>
              <w:left w:val="single" w:color="auto" w:sz="4" w:space="0"/>
            </w:tcBorders>
            <w:noWrap/>
            <w:vAlign w:val="center"/>
          </w:tcPr>
          <w:p>
            <w:pPr>
              <w:widowControl/>
              <w:spacing w:line="240" w:lineRule="exact"/>
              <w:ind w:left="134" w:leftChars="64" w:right="73" w:rightChars="35"/>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6" w:hRule="atLeast"/>
        </w:trPr>
        <w:tc>
          <w:tcPr>
            <w:tcW w:w="490" w:type="dxa"/>
            <w:tcBorders>
              <w:right w:val="single" w:color="auto" w:sz="4" w:space="0"/>
            </w:tcBorders>
            <w:noWrap/>
            <w:vAlign w:val="center"/>
          </w:tcPr>
          <w:p>
            <w:pPr>
              <w:numPr>
                <w:ilvl w:val="0"/>
                <w:numId w:val="1"/>
              </w:numPr>
              <w:spacing w:line="240" w:lineRule="exact"/>
              <w:jc w:val="center"/>
              <w:rPr>
                <w:rFonts w:ascii="黑体" w:hAnsi="黑体" w:eastAsia="黑体" w:cs="黑体"/>
                <w:color w:val="000000" w:themeColor="text1"/>
                <w:szCs w:val="21"/>
              </w:rPr>
            </w:pPr>
          </w:p>
        </w:tc>
        <w:tc>
          <w:tcPr>
            <w:tcW w:w="765"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行政检查</w:t>
            </w:r>
          </w:p>
        </w:tc>
        <w:tc>
          <w:tcPr>
            <w:tcW w:w="1132"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加强对水资源费征收、使用情况的监督检查</w:t>
            </w:r>
          </w:p>
        </w:tc>
        <w:tc>
          <w:tcPr>
            <w:tcW w:w="3847"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《取水许可和水资源费征收管理条例》第三十八条</w:t>
            </w:r>
          </w:p>
        </w:tc>
        <w:tc>
          <w:tcPr>
            <w:tcW w:w="5100" w:type="dxa"/>
            <w:tcBorders>
              <w:left w:val="single" w:color="auto" w:sz="4" w:space="0"/>
              <w:right w:val="single" w:color="auto" w:sz="4" w:space="0"/>
            </w:tcBorders>
            <w:noWrap/>
            <w:vAlign w:val="center"/>
          </w:tcPr>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1.检查责任：定期根据法律法规对相关工作开展检查。</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2.处置责任：根据有关规定作出相应处置措施。</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3.事后管理责任：对检查情况进行汇总、分类、归档备查，并跟踪监测。</w:t>
            </w:r>
          </w:p>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4.其他法律法规规章文件规定应履行的责任。</w:t>
            </w:r>
          </w:p>
        </w:tc>
        <w:tc>
          <w:tcPr>
            <w:tcW w:w="1072" w:type="dxa"/>
            <w:tcBorders>
              <w:left w:val="single" w:color="auto" w:sz="4" w:space="0"/>
              <w:right w:val="single" w:color="auto" w:sz="4" w:space="0"/>
            </w:tcBorders>
            <w:noWrap/>
            <w:vAlign w:val="center"/>
          </w:tcPr>
          <w:p>
            <w:pPr>
              <w:widowControl/>
              <w:spacing w:line="240" w:lineRule="exact"/>
              <w:jc w:val="lef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《取水许可和水资源费征收管理条例》第三十八条</w:t>
            </w:r>
          </w:p>
        </w:tc>
        <w:tc>
          <w:tcPr>
            <w:tcW w:w="1039" w:type="dxa"/>
            <w:tcBorders>
              <w:left w:val="single" w:color="auto" w:sz="4" w:space="0"/>
              <w:right w:val="single" w:color="auto" w:sz="4" w:space="0"/>
            </w:tcBorders>
            <w:noWrap/>
            <w:vAlign w:val="center"/>
          </w:tcPr>
          <w:p>
            <w:pPr>
              <w:spacing w:line="240" w:lineRule="exact"/>
              <w:rPr>
                <w:rFonts w:ascii="宋体" w:hAnsi="宋体" w:cs="宋体"/>
                <w:color w:val="000000" w:themeColor="text1"/>
                <w:sz w:val="18"/>
                <w:szCs w:val="18"/>
              </w:rPr>
            </w:pPr>
            <w:r>
              <w:rPr>
                <w:rFonts w:hint="eastAsia" w:ascii="宋体" w:hAnsi="宋体" w:cs="宋体"/>
                <w:color w:val="000000" w:themeColor="text1"/>
                <w:sz w:val="18"/>
                <w:szCs w:val="18"/>
              </w:rPr>
              <w:t>运行服务中心水资源服务股</w:t>
            </w:r>
          </w:p>
        </w:tc>
        <w:tc>
          <w:tcPr>
            <w:tcW w:w="1125" w:type="dxa"/>
            <w:tcBorders>
              <w:left w:val="single" w:color="auto" w:sz="4" w:space="0"/>
              <w:right w:val="single" w:color="auto" w:sz="4" w:space="0"/>
            </w:tcBorders>
            <w:noWrap/>
            <w:vAlign w:val="center"/>
          </w:tcPr>
          <w:p>
            <w:pPr>
              <w:widowControl/>
              <w:spacing w:line="240" w:lineRule="exact"/>
              <w:rPr>
                <w:rFonts w:ascii="宋体" w:hAnsi="宋体"/>
                <w:color w:val="000000" w:themeColor="text1"/>
                <w:sz w:val="18"/>
                <w:szCs w:val="18"/>
              </w:rPr>
            </w:pPr>
            <w:r>
              <w:rPr>
                <w:rFonts w:hint="eastAsia" w:ascii="宋体" w:hAnsi="宋体"/>
                <w:color w:val="000000" w:themeColor="text1"/>
                <w:sz w:val="18"/>
                <w:szCs w:val="18"/>
              </w:rPr>
              <w:t>单位法定代表人、分管领导、科室负责人、具体承办人</w:t>
            </w:r>
          </w:p>
        </w:tc>
        <w:tc>
          <w:tcPr>
            <w:tcW w:w="1079" w:type="dxa"/>
            <w:tcBorders>
              <w:left w:val="single" w:color="auto" w:sz="4" w:space="0"/>
            </w:tcBorders>
            <w:noWrap/>
            <w:vAlign w:val="center"/>
          </w:tcPr>
          <w:p>
            <w:pPr>
              <w:widowControl/>
              <w:spacing w:line="240" w:lineRule="exact"/>
              <w:ind w:left="134" w:leftChars="64" w:right="73" w:rightChars="35"/>
              <w:textAlignment w:val="center"/>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0" w:hRule="atLeast"/>
        </w:trPr>
        <w:tc>
          <w:tcPr>
            <w:tcW w:w="490" w:type="dxa"/>
            <w:tcBorders>
              <w:right w:val="single" w:color="auto" w:sz="4" w:space="0"/>
            </w:tcBorders>
            <w:noWrap/>
            <w:vAlign w:val="center"/>
          </w:tcPr>
          <w:p>
            <w:pPr>
              <w:numPr>
                <w:ilvl w:val="0"/>
                <w:numId w:val="1"/>
              </w:numPr>
              <w:spacing w:line="240" w:lineRule="exact"/>
              <w:jc w:val="center"/>
              <w:rPr>
                <w:rFonts w:ascii="黑体" w:hAnsi="黑体" w:eastAsia="黑体" w:cs="黑体"/>
                <w:color w:val="000000" w:themeColor="text1"/>
                <w:szCs w:val="21"/>
              </w:rPr>
            </w:pPr>
          </w:p>
        </w:tc>
        <w:tc>
          <w:tcPr>
            <w:tcW w:w="765"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行政检查</w:t>
            </w:r>
          </w:p>
        </w:tc>
        <w:tc>
          <w:tcPr>
            <w:tcW w:w="1132"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权限内在建水库工程汛期安全度汛方案审批</w:t>
            </w:r>
          </w:p>
        </w:tc>
        <w:tc>
          <w:tcPr>
            <w:tcW w:w="3847"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《贵州省防洪条例》（贵州省第十二届人民代表大会常务委员会公告2017第22号）第二十四条</w:t>
            </w:r>
          </w:p>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《省人民政府关于第二批取消下放管理层级转变管理方式的行政许可事项的决定》 （省政府令第 129 号）附件3第35项</w:t>
            </w:r>
          </w:p>
        </w:tc>
        <w:tc>
          <w:tcPr>
            <w:tcW w:w="5100" w:type="dxa"/>
            <w:tcBorders>
              <w:left w:val="single" w:color="auto" w:sz="4" w:space="0"/>
              <w:right w:val="single" w:color="auto" w:sz="4" w:space="0"/>
            </w:tcBorders>
            <w:noWrap/>
            <w:vAlign w:val="center"/>
          </w:tcPr>
          <w:p>
            <w:pPr>
              <w:widowControl/>
              <w:spacing w:line="240" w:lineRule="exact"/>
              <w:jc w:val="lef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1.受理责任：公示法定应当提交的检查材料；一次性告知补正材料；</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2.审查责任：对申请人提交的申请材料进行审查，提出审查意见，检查过程中实事求是，依法依规。</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3.决定责任：在规定期限内作出书面决定（不予通过应说明理由）。</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4.送达责任：在规定期限内制定并向申请人送达相关文书。</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5.监管责任：加强日常监督检查。</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6.法律法规规章文件规定应履行的其他责任。</w:t>
            </w:r>
          </w:p>
        </w:tc>
        <w:tc>
          <w:tcPr>
            <w:tcW w:w="1072" w:type="dxa"/>
            <w:tcBorders>
              <w:left w:val="single" w:color="auto" w:sz="4" w:space="0"/>
              <w:right w:val="single" w:color="auto" w:sz="4" w:space="0"/>
            </w:tcBorders>
            <w:noWrap/>
            <w:vAlign w:val="center"/>
          </w:tcPr>
          <w:p>
            <w:pPr>
              <w:widowControl/>
              <w:spacing w:line="240" w:lineRule="exact"/>
              <w:jc w:val="lef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《贵州省防洪条例》第二十四条</w:t>
            </w:r>
          </w:p>
        </w:tc>
        <w:tc>
          <w:tcPr>
            <w:tcW w:w="1039"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sz w:val="18"/>
                <w:szCs w:val="18"/>
              </w:rPr>
              <w:t>运行服务中心综合股</w:t>
            </w:r>
          </w:p>
        </w:tc>
        <w:tc>
          <w:tcPr>
            <w:tcW w:w="1125"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olor w:val="000000" w:themeColor="text1"/>
                <w:sz w:val="18"/>
                <w:szCs w:val="18"/>
              </w:rPr>
              <w:t>单位法定代表人、分管领导、科室负责人、具体承办人</w:t>
            </w:r>
          </w:p>
        </w:tc>
        <w:tc>
          <w:tcPr>
            <w:tcW w:w="1079" w:type="dxa"/>
            <w:tcBorders>
              <w:lef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4" w:hRule="atLeast"/>
        </w:trPr>
        <w:tc>
          <w:tcPr>
            <w:tcW w:w="490" w:type="dxa"/>
            <w:tcBorders>
              <w:right w:val="single" w:color="auto" w:sz="4" w:space="0"/>
            </w:tcBorders>
            <w:noWrap/>
            <w:vAlign w:val="center"/>
          </w:tcPr>
          <w:p>
            <w:pPr>
              <w:numPr>
                <w:ilvl w:val="0"/>
                <w:numId w:val="1"/>
              </w:numPr>
              <w:spacing w:line="240" w:lineRule="exact"/>
              <w:jc w:val="center"/>
              <w:rPr>
                <w:rFonts w:ascii="黑体" w:hAnsi="黑体" w:eastAsia="黑体" w:cs="黑体"/>
                <w:color w:val="000000" w:themeColor="text1"/>
                <w:szCs w:val="21"/>
              </w:rPr>
            </w:pPr>
          </w:p>
        </w:tc>
        <w:tc>
          <w:tcPr>
            <w:tcW w:w="765"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行政检查</w:t>
            </w:r>
          </w:p>
        </w:tc>
        <w:tc>
          <w:tcPr>
            <w:tcW w:w="1132"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权限内水库（水电站）汛期调度运用计划和防御洪水方案审批</w:t>
            </w:r>
          </w:p>
        </w:tc>
        <w:tc>
          <w:tcPr>
            <w:tcW w:w="3847"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《贵州省防洪条例》（贵州省第十二届人民代表大会常务委员会公告2017第22号）第二十三条 第二十四条 第二十五条</w:t>
            </w:r>
          </w:p>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《省人民政府关于第二批取消下放管理层级转变管理方式的行政许可事项的决定》 （省政府令第 129 号）附件3第35项</w:t>
            </w:r>
          </w:p>
        </w:tc>
        <w:tc>
          <w:tcPr>
            <w:tcW w:w="5100" w:type="dxa"/>
            <w:tcBorders>
              <w:left w:val="single" w:color="auto" w:sz="4" w:space="0"/>
              <w:right w:val="single" w:color="auto" w:sz="4" w:space="0"/>
            </w:tcBorders>
            <w:noWrap/>
            <w:vAlign w:val="center"/>
          </w:tcPr>
          <w:p>
            <w:pPr>
              <w:widowControl/>
              <w:spacing w:line="240" w:lineRule="exact"/>
              <w:jc w:val="lef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1.受理责任：公示法定应当提交的检查材料；一次性告知补正材料；</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2.审查责任：对申请人提交的申请材料进行审查，提出审查意见，检查过程中实事求是，依法依规。</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3.决定责任：在规定期限内作出书面决定（不予通过应说明理由）。</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4.送达责任：在规定期限内制定并向申请人送达相关文书。</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5.监管责任：加强日常监督检查。</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6.法律法规规章文件规定应履行的其他责任。</w:t>
            </w:r>
          </w:p>
        </w:tc>
        <w:tc>
          <w:tcPr>
            <w:tcW w:w="1072" w:type="dxa"/>
            <w:tcBorders>
              <w:left w:val="single" w:color="auto" w:sz="4" w:space="0"/>
              <w:right w:val="single" w:color="auto" w:sz="4" w:space="0"/>
            </w:tcBorders>
            <w:noWrap/>
            <w:vAlign w:val="center"/>
          </w:tcPr>
          <w:p>
            <w:pPr>
              <w:widowControl/>
              <w:spacing w:line="240" w:lineRule="exact"/>
              <w:jc w:val="lef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《贵州省防洪条例》第二十三、二十四、二十五条。</w:t>
            </w:r>
          </w:p>
        </w:tc>
        <w:tc>
          <w:tcPr>
            <w:tcW w:w="1039"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sz w:val="18"/>
                <w:szCs w:val="18"/>
              </w:rPr>
              <w:t>运行服务中心综合股</w:t>
            </w:r>
          </w:p>
        </w:tc>
        <w:tc>
          <w:tcPr>
            <w:tcW w:w="1125"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olor w:val="000000" w:themeColor="text1"/>
                <w:sz w:val="18"/>
                <w:szCs w:val="18"/>
              </w:rPr>
              <w:t>单位法定代表人、分管领导、科室负责人、具体承办人</w:t>
            </w:r>
          </w:p>
        </w:tc>
        <w:tc>
          <w:tcPr>
            <w:tcW w:w="1079" w:type="dxa"/>
            <w:tcBorders>
              <w:lef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5" w:hRule="atLeast"/>
        </w:trPr>
        <w:tc>
          <w:tcPr>
            <w:tcW w:w="490" w:type="dxa"/>
            <w:tcBorders>
              <w:right w:val="single" w:color="auto" w:sz="4" w:space="0"/>
            </w:tcBorders>
            <w:shd w:val="clear" w:color="auto" w:fill="auto"/>
            <w:noWrap/>
            <w:vAlign w:val="center"/>
          </w:tcPr>
          <w:p>
            <w:pPr>
              <w:numPr>
                <w:ilvl w:val="0"/>
                <w:numId w:val="1"/>
              </w:numPr>
              <w:spacing w:line="240" w:lineRule="exact"/>
              <w:jc w:val="center"/>
              <w:rPr>
                <w:rFonts w:ascii="黑体" w:hAnsi="黑体" w:eastAsia="黑体" w:cs="黑体"/>
                <w:color w:val="000000" w:themeColor="text1"/>
                <w:szCs w:val="21"/>
              </w:rPr>
            </w:pPr>
          </w:p>
        </w:tc>
        <w:tc>
          <w:tcPr>
            <w:tcW w:w="765" w:type="dxa"/>
            <w:tcBorders>
              <w:left w:val="single" w:color="auto" w:sz="4" w:space="0"/>
              <w:right w:val="single" w:color="auto" w:sz="4" w:space="0"/>
            </w:tcBorders>
            <w:shd w:val="clear" w:color="auto" w:fill="auto"/>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其他类</w:t>
            </w:r>
          </w:p>
        </w:tc>
        <w:tc>
          <w:tcPr>
            <w:tcW w:w="1132" w:type="dxa"/>
            <w:tcBorders>
              <w:left w:val="single" w:color="auto" w:sz="4" w:space="0"/>
              <w:right w:val="single" w:color="auto" w:sz="4" w:space="0"/>
            </w:tcBorders>
            <w:shd w:val="clear" w:color="000000" w:fill="FFFFFF"/>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大坝竣工</w:t>
            </w:r>
          </w:p>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验收</w:t>
            </w:r>
          </w:p>
        </w:tc>
        <w:tc>
          <w:tcPr>
            <w:tcW w:w="3847" w:type="dxa"/>
            <w:tcBorders>
              <w:left w:val="single" w:color="auto" w:sz="4" w:space="0"/>
              <w:right w:val="single" w:color="auto" w:sz="4" w:space="0"/>
            </w:tcBorders>
            <w:shd w:val="clear" w:color="000000" w:fill="FFFFFF"/>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《水库大坝安全管理条例》（2011年国务院令第588号）第十一条</w:t>
            </w:r>
          </w:p>
        </w:tc>
        <w:tc>
          <w:tcPr>
            <w:tcW w:w="5100" w:type="dxa"/>
            <w:tcBorders>
              <w:left w:val="single" w:color="auto" w:sz="4" w:space="0"/>
              <w:right w:val="single" w:color="auto" w:sz="4" w:space="0"/>
            </w:tcBorders>
            <w:shd w:val="clear" w:color="auto" w:fill="auto"/>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1.受理责任：公示法定应当提交的材料；一次性告知补正材料；依法受理或不予受理申请（不予受理的说明理由）。</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2.审查责任：对申请人提交的申请材料进行审查，提出审查意见。</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3.决定责任：在规定期限内作出书面决定（不予通过应说明理由）。</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4.送达责任：在规定期限内制定并向申请人送达法律证件。</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5.监管责任：加强日常监督检查。</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6.法律法规规章文件规定应履行的其他责任。</w:t>
            </w:r>
          </w:p>
        </w:tc>
        <w:tc>
          <w:tcPr>
            <w:tcW w:w="1072" w:type="dxa"/>
            <w:tcBorders>
              <w:left w:val="single" w:color="auto" w:sz="4" w:space="0"/>
              <w:right w:val="single" w:color="auto" w:sz="4" w:space="0"/>
            </w:tcBorders>
            <w:shd w:val="clear" w:color="000000" w:fill="FFFFFF"/>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《水库大坝安全管理条例》第十一条 </w:t>
            </w:r>
          </w:p>
        </w:tc>
        <w:tc>
          <w:tcPr>
            <w:tcW w:w="1039" w:type="dxa"/>
            <w:tcBorders>
              <w:left w:val="single" w:color="auto" w:sz="4" w:space="0"/>
              <w:right w:val="single" w:color="auto" w:sz="4" w:space="0"/>
            </w:tcBorders>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水利工程建设服务站</w:t>
            </w:r>
          </w:p>
        </w:tc>
        <w:tc>
          <w:tcPr>
            <w:tcW w:w="1125"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olor w:val="000000" w:themeColor="text1"/>
                <w:sz w:val="18"/>
                <w:szCs w:val="18"/>
              </w:rPr>
              <w:t>单位法定代表人、分管领导、科室负责人、具体承办人</w:t>
            </w:r>
          </w:p>
        </w:tc>
        <w:tc>
          <w:tcPr>
            <w:tcW w:w="1079" w:type="dxa"/>
            <w:tcBorders>
              <w:lef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90" w:type="dxa"/>
            <w:tcBorders>
              <w:right w:val="single" w:color="auto" w:sz="4" w:space="0"/>
            </w:tcBorders>
            <w:shd w:val="clear" w:color="auto" w:fill="auto"/>
            <w:noWrap/>
            <w:vAlign w:val="center"/>
          </w:tcPr>
          <w:p>
            <w:pPr>
              <w:numPr>
                <w:ilvl w:val="0"/>
                <w:numId w:val="1"/>
              </w:numPr>
              <w:spacing w:line="240" w:lineRule="exact"/>
              <w:jc w:val="center"/>
              <w:rPr>
                <w:rFonts w:ascii="黑体" w:hAnsi="黑体" w:eastAsia="黑体" w:cs="黑体"/>
                <w:color w:val="000000" w:themeColor="text1"/>
                <w:szCs w:val="21"/>
              </w:rPr>
            </w:pPr>
            <w:r>
              <w:rPr>
                <w:rFonts w:hint="eastAsia" w:ascii="黑体" w:hAnsi="黑体" w:eastAsia="黑体" w:cs="黑体"/>
                <w:color w:val="000000" w:themeColor="text1"/>
                <w:szCs w:val="21"/>
              </w:rPr>
              <w:br w:type="textWrapping"/>
            </w:r>
          </w:p>
        </w:tc>
        <w:tc>
          <w:tcPr>
            <w:tcW w:w="765" w:type="dxa"/>
            <w:tcBorders>
              <w:left w:val="single" w:color="auto" w:sz="4" w:space="0"/>
              <w:right w:val="single" w:color="auto" w:sz="4" w:space="0"/>
            </w:tcBorders>
            <w:shd w:val="clear" w:color="auto" w:fill="auto"/>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其他类</w:t>
            </w:r>
          </w:p>
        </w:tc>
        <w:tc>
          <w:tcPr>
            <w:tcW w:w="1132" w:type="dxa"/>
            <w:tcBorders>
              <w:left w:val="single" w:color="auto" w:sz="4" w:space="0"/>
              <w:right w:val="single" w:color="auto" w:sz="4" w:space="0"/>
            </w:tcBorders>
            <w:shd w:val="clear" w:color="000000" w:fill="FFFFFF"/>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水利建设安全生产措施方案的备案</w:t>
            </w:r>
          </w:p>
        </w:tc>
        <w:tc>
          <w:tcPr>
            <w:tcW w:w="3847" w:type="dxa"/>
            <w:tcBorders>
              <w:left w:val="single" w:color="auto" w:sz="4" w:space="0"/>
              <w:right w:val="single" w:color="auto" w:sz="4" w:space="0"/>
            </w:tcBorders>
            <w:shd w:val="clear" w:color="000000" w:fill="FFFFFF"/>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《水利工程建设安全生产管理规定(2017修正)》</w:t>
            </w:r>
            <w:bookmarkStart w:id="2" w:name="9"/>
            <w:r>
              <w:rPr>
                <w:rFonts w:hint="eastAsia" w:ascii="宋体" w:hAnsi="宋体" w:cs="宋体"/>
                <w:color w:val="000000" w:themeColor="text1"/>
                <w:kern w:val="0"/>
                <w:sz w:val="18"/>
                <w:szCs w:val="18"/>
              </w:rPr>
              <w:t>第九条</w:t>
            </w:r>
            <w:bookmarkEnd w:id="2"/>
            <w:r>
              <w:rPr>
                <w:rFonts w:hint="eastAsia" w:ascii="宋体" w:hAnsi="宋体" w:cs="宋体"/>
                <w:color w:val="000000" w:themeColor="text1"/>
                <w:kern w:val="0"/>
                <w:sz w:val="18"/>
                <w:szCs w:val="18"/>
              </w:rPr>
              <w:t>　</w:t>
            </w:r>
          </w:p>
        </w:tc>
        <w:tc>
          <w:tcPr>
            <w:tcW w:w="5100" w:type="dxa"/>
            <w:tcBorders>
              <w:left w:val="single" w:color="auto" w:sz="4" w:space="0"/>
              <w:right w:val="single" w:color="auto" w:sz="4" w:space="0"/>
            </w:tcBorders>
            <w:noWrap/>
            <w:vAlign w:val="center"/>
          </w:tcPr>
          <w:p>
            <w:pPr>
              <w:widowControl/>
              <w:jc w:val="lef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1.受理责任：公示法定应当提交的材料；一次性告知补正材料；依法受理或不予受理申请。</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2.审查责任：对申请人提交的申请材料进行审查，组织检查验收，提出意见。</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3.决定责任：在规定期限内依法作出行政决定。</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4.监管责任：建立健全事中事后监管措施，加强监管。</w:t>
            </w:r>
          </w:p>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5.法律法规规章文件规定应履行的责任。</w:t>
            </w:r>
          </w:p>
        </w:tc>
        <w:tc>
          <w:tcPr>
            <w:tcW w:w="1072"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《水利工程建设安全生产管理规定(2017修正)》第九条　</w:t>
            </w:r>
          </w:p>
        </w:tc>
        <w:tc>
          <w:tcPr>
            <w:tcW w:w="1039"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质量监督股</w:t>
            </w:r>
          </w:p>
        </w:tc>
        <w:tc>
          <w:tcPr>
            <w:tcW w:w="1125"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单位法定代表人、分管领导、科室负责人、具体承办人</w:t>
            </w:r>
          </w:p>
        </w:tc>
        <w:tc>
          <w:tcPr>
            <w:tcW w:w="1079" w:type="dxa"/>
            <w:tcBorders>
              <w:lef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6" w:hRule="atLeast"/>
        </w:trPr>
        <w:tc>
          <w:tcPr>
            <w:tcW w:w="490" w:type="dxa"/>
            <w:tcBorders>
              <w:right w:val="single" w:color="auto" w:sz="4" w:space="0"/>
            </w:tcBorders>
            <w:shd w:val="clear" w:color="auto" w:fill="auto"/>
            <w:noWrap/>
            <w:vAlign w:val="center"/>
          </w:tcPr>
          <w:p>
            <w:pPr>
              <w:numPr>
                <w:ilvl w:val="0"/>
                <w:numId w:val="1"/>
              </w:numPr>
              <w:spacing w:line="240" w:lineRule="exact"/>
              <w:jc w:val="center"/>
              <w:rPr>
                <w:rFonts w:ascii="黑体" w:hAnsi="黑体" w:eastAsia="黑体" w:cs="黑体"/>
                <w:color w:val="000000" w:themeColor="text1"/>
                <w:szCs w:val="21"/>
              </w:rPr>
            </w:pPr>
          </w:p>
        </w:tc>
        <w:tc>
          <w:tcPr>
            <w:tcW w:w="765" w:type="dxa"/>
            <w:tcBorders>
              <w:left w:val="single" w:color="auto" w:sz="4" w:space="0"/>
              <w:right w:val="single" w:color="auto" w:sz="4" w:space="0"/>
            </w:tcBorders>
            <w:shd w:val="clear" w:color="auto" w:fill="auto"/>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其他类</w:t>
            </w:r>
          </w:p>
        </w:tc>
        <w:tc>
          <w:tcPr>
            <w:tcW w:w="1132" w:type="dxa"/>
            <w:tcBorders>
              <w:left w:val="single" w:color="auto" w:sz="4" w:space="0"/>
              <w:right w:val="single" w:color="auto" w:sz="4" w:space="0"/>
            </w:tcBorders>
            <w:shd w:val="clear" w:color="000000" w:fill="FFFFFF"/>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城镇排水与污水处理设施竣工验收备案</w:t>
            </w:r>
          </w:p>
        </w:tc>
        <w:tc>
          <w:tcPr>
            <w:tcW w:w="3847" w:type="dxa"/>
            <w:tcBorders>
              <w:left w:val="single" w:color="auto" w:sz="4" w:space="0"/>
              <w:right w:val="single" w:color="auto" w:sz="4" w:space="0"/>
            </w:tcBorders>
            <w:shd w:val="clear" w:color="000000" w:fill="FFFFFF"/>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《城镇排水与污水处理条例》 第十五条</w:t>
            </w:r>
          </w:p>
        </w:tc>
        <w:tc>
          <w:tcPr>
            <w:tcW w:w="5100"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1.受理责任：公示法定应当提交的材料；一次性告知补正材料；依法受理备案或不予受理备案申请，不予受理备案的说明理由。</w:t>
            </w:r>
          </w:p>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2.审查责任：对申请人提交的申请材料进行审查。</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3.决定责任：在规定期限内出具备案证明。</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4.送达责任：在规定期限内制定并向申请人送达备案证明。</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5.监管责任：加强日常监督检查。</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6.法律法规规章文件规定应履行的其他责任。</w:t>
            </w:r>
          </w:p>
        </w:tc>
        <w:tc>
          <w:tcPr>
            <w:tcW w:w="1072"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《城镇排水与污水处理条例》 第十五条</w:t>
            </w:r>
          </w:p>
        </w:tc>
        <w:tc>
          <w:tcPr>
            <w:tcW w:w="1039"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sz w:val="18"/>
                <w:szCs w:val="18"/>
              </w:rPr>
            </w:pPr>
            <w:r>
              <w:rPr>
                <w:rFonts w:hint="eastAsia" w:ascii="宋体" w:hAnsi="宋体" w:cs="宋体"/>
                <w:color w:val="000000" w:themeColor="text1"/>
                <w:sz w:val="18"/>
                <w:szCs w:val="18"/>
              </w:rPr>
              <w:t>供排水服务中心</w:t>
            </w:r>
          </w:p>
        </w:tc>
        <w:tc>
          <w:tcPr>
            <w:tcW w:w="1125"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单位法定代表人、分管领导、科室负责人、具体承办</w:t>
            </w:r>
          </w:p>
        </w:tc>
        <w:tc>
          <w:tcPr>
            <w:tcW w:w="1079" w:type="dxa"/>
            <w:tcBorders>
              <w:lef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0" w:hRule="atLeast"/>
        </w:trPr>
        <w:tc>
          <w:tcPr>
            <w:tcW w:w="490" w:type="dxa"/>
            <w:tcBorders>
              <w:right w:val="single" w:color="auto" w:sz="4" w:space="0"/>
            </w:tcBorders>
            <w:shd w:val="clear" w:color="auto" w:fill="auto"/>
            <w:noWrap/>
            <w:vAlign w:val="center"/>
          </w:tcPr>
          <w:p>
            <w:pPr>
              <w:numPr>
                <w:ilvl w:val="0"/>
                <w:numId w:val="1"/>
              </w:numPr>
              <w:spacing w:line="240" w:lineRule="exact"/>
              <w:jc w:val="center"/>
              <w:rPr>
                <w:rFonts w:ascii="黑体" w:hAnsi="黑体" w:eastAsia="黑体" w:cs="黑体"/>
                <w:color w:val="000000" w:themeColor="text1"/>
                <w:szCs w:val="21"/>
              </w:rPr>
            </w:pPr>
          </w:p>
        </w:tc>
        <w:tc>
          <w:tcPr>
            <w:tcW w:w="765" w:type="dxa"/>
            <w:tcBorders>
              <w:left w:val="single" w:color="auto" w:sz="4" w:space="0"/>
              <w:right w:val="single" w:color="auto" w:sz="4" w:space="0"/>
            </w:tcBorders>
            <w:shd w:val="clear" w:color="auto" w:fill="auto"/>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其他类</w:t>
            </w:r>
          </w:p>
        </w:tc>
        <w:tc>
          <w:tcPr>
            <w:tcW w:w="1132" w:type="dxa"/>
            <w:tcBorders>
              <w:left w:val="single" w:color="auto" w:sz="4" w:space="0"/>
              <w:right w:val="single" w:color="auto" w:sz="4" w:space="0"/>
            </w:tcBorders>
            <w:shd w:val="clear" w:color="000000" w:fill="FFFFFF"/>
            <w:noWrap/>
            <w:vAlign w:val="center"/>
          </w:tcPr>
          <w:p>
            <w:pPr>
              <w:widowControl/>
              <w:spacing w:line="240" w:lineRule="exact"/>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城镇供水设施竣工验收</w:t>
            </w:r>
          </w:p>
        </w:tc>
        <w:tc>
          <w:tcPr>
            <w:tcW w:w="3847" w:type="dxa"/>
            <w:tcBorders>
              <w:left w:val="single" w:color="auto" w:sz="4" w:space="0"/>
              <w:right w:val="single" w:color="auto" w:sz="4" w:space="0"/>
            </w:tcBorders>
            <w:shd w:val="clear" w:color="000000" w:fill="FFFFFF"/>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《城市供水条例》 第十七条</w:t>
            </w:r>
          </w:p>
        </w:tc>
        <w:tc>
          <w:tcPr>
            <w:tcW w:w="5100"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1.受理责任：公示法定应当提交的材料；一次性告知补正材料；依法受理备案或不予受理备案申请，不予受理备案的说明理由。</w:t>
            </w:r>
          </w:p>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2.审查责任：对申请人提交的申请材料进行审查。</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3.决定责任：在规定期限内出具备案证明。</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4.送达责任：在规定期限内制定并向申请人送达备案证明。</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5.监管责任：加强日常监督检查。</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6.法律法规规章文件规定应履行的其他责任。</w:t>
            </w:r>
          </w:p>
        </w:tc>
        <w:tc>
          <w:tcPr>
            <w:tcW w:w="1072"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《城市供水条例》 第十七条</w:t>
            </w:r>
          </w:p>
        </w:tc>
        <w:tc>
          <w:tcPr>
            <w:tcW w:w="1039"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sz w:val="18"/>
                <w:szCs w:val="18"/>
              </w:rPr>
            </w:pPr>
            <w:r>
              <w:rPr>
                <w:rFonts w:hint="eastAsia" w:ascii="宋体" w:hAnsi="宋体" w:cs="宋体"/>
                <w:color w:val="000000" w:themeColor="text1"/>
                <w:sz w:val="18"/>
                <w:szCs w:val="18"/>
              </w:rPr>
              <w:t>供排水服务中心</w:t>
            </w:r>
          </w:p>
        </w:tc>
        <w:tc>
          <w:tcPr>
            <w:tcW w:w="1125" w:type="dxa"/>
            <w:tcBorders>
              <w:left w:val="single" w:color="auto" w:sz="4" w:space="0"/>
              <w:righ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单位法定代表人、分管领导、科室负责人、具体承办</w:t>
            </w:r>
          </w:p>
        </w:tc>
        <w:tc>
          <w:tcPr>
            <w:tcW w:w="1079" w:type="dxa"/>
            <w:tcBorders>
              <w:left w:val="single" w:color="auto" w:sz="4" w:space="0"/>
            </w:tcBorders>
            <w:noWrap/>
            <w:vAlign w:val="center"/>
          </w:tcPr>
          <w:p>
            <w:pPr>
              <w:widowControl/>
              <w:spacing w:line="240" w:lineRule="exact"/>
              <w:textAlignment w:val="center"/>
              <w:rPr>
                <w:rFonts w:ascii="宋体" w:hAnsi="宋体" w:cs="宋体"/>
                <w:color w:val="000000" w:themeColor="text1"/>
                <w:kern w:val="0"/>
                <w:sz w:val="18"/>
                <w:szCs w:val="18"/>
              </w:rPr>
            </w:pPr>
          </w:p>
        </w:tc>
      </w:tr>
    </w:tbl>
    <w:p>
      <w:pPr>
        <w:spacing w:line="240" w:lineRule="exact"/>
        <w:rPr>
          <w:color w:val="000000" w:themeColor="text1"/>
        </w:rPr>
      </w:pPr>
    </w:p>
    <w:p>
      <w:pPr>
        <w:rPr>
          <w:color w:val="000000" w:themeColor="text1"/>
        </w:rPr>
      </w:pPr>
    </w:p>
    <w:sectPr>
      <w:footerReference r:id="rId3" w:type="default"/>
      <w:pgSz w:w="16838" w:h="11906" w:orient="landscape"/>
      <w:pgMar w:top="1417" w:right="1440" w:bottom="1417" w:left="1440" w:header="851" w:footer="992" w:gutter="0"/>
      <w:pgNumType w:fmt="numberInDash" w:start="1"/>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ascii="宋体" w:hAnsi="宋体" w:cs="宋体"/>
                              <w:sz w:val="28"/>
                              <w:szCs w:val="32"/>
                            </w:rPr>
                            <w:fldChar w:fldCharType="begin"/>
                          </w:r>
                          <w:r>
                            <w:rPr>
                              <w:rFonts w:hint="eastAsia" w:ascii="宋体" w:hAnsi="宋体" w:cs="宋体"/>
                              <w:sz w:val="28"/>
                              <w:szCs w:val="32"/>
                            </w:rPr>
                            <w:instrText xml:space="preserve"> PAGE  \* MERGEFORMAT </w:instrText>
                          </w:r>
                          <w:r>
                            <w:rPr>
                              <w:rFonts w:hint="eastAsia" w:ascii="宋体" w:hAnsi="宋体" w:cs="宋体"/>
                              <w:sz w:val="28"/>
                              <w:szCs w:val="32"/>
                            </w:rPr>
                            <w:fldChar w:fldCharType="separate"/>
                          </w:r>
                          <w:r>
                            <w:rPr>
                              <w:rFonts w:ascii="宋体" w:hAnsi="宋体" w:cs="宋体"/>
                              <w:sz w:val="28"/>
                              <w:szCs w:val="32"/>
                            </w:rPr>
                            <w:t>- 7 -</w:t>
                          </w:r>
                          <w:r>
                            <w:rPr>
                              <w:rFonts w:hint="eastAsia" w:ascii="宋体" w:hAnsi="宋体" w:cs="宋体"/>
                              <w:sz w:val="28"/>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fill on="f" focussize="0,0"/>
              <v:stroke on="f"/>
              <v:imagedata o:title=""/>
              <o:lock v:ext="edit" aspectratio="f"/>
              <v:textbox inset="0mm,0mm,0mm,0mm" style="mso-fit-shape-to-text:t;">
                <w:txbxContent>
                  <w:p>
                    <w:pPr>
                      <w:snapToGrid w:val="0"/>
                      <w:rPr>
                        <w:sz w:val="18"/>
                      </w:rPr>
                    </w:pPr>
                    <w:r>
                      <w:rPr>
                        <w:rFonts w:hint="eastAsia" w:ascii="宋体" w:hAnsi="宋体" w:cs="宋体"/>
                        <w:sz w:val="28"/>
                        <w:szCs w:val="32"/>
                      </w:rPr>
                      <w:fldChar w:fldCharType="begin"/>
                    </w:r>
                    <w:r>
                      <w:rPr>
                        <w:rFonts w:hint="eastAsia" w:ascii="宋体" w:hAnsi="宋体" w:cs="宋体"/>
                        <w:sz w:val="28"/>
                        <w:szCs w:val="32"/>
                      </w:rPr>
                      <w:instrText xml:space="preserve"> PAGE  \* MERGEFORMAT </w:instrText>
                    </w:r>
                    <w:r>
                      <w:rPr>
                        <w:rFonts w:hint="eastAsia" w:ascii="宋体" w:hAnsi="宋体" w:cs="宋体"/>
                        <w:sz w:val="28"/>
                        <w:szCs w:val="32"/>
                      </w:rPr>
                      <w:fldChar w:fldCharType="separate"/>
                    </w:r>
                    <w:r>
                      <w:rPr>
                        <w:rFonts w:ascii="宋体" w:hAnsi="宋体" w:cs="宋体"/>
                        <w:sz w:val="28"/>
                        <w:szCs w:val="32"/>
                      </w:rPr>
                      <w:t>- 7 -</w:t>
                    </w:r>
                    <w:r>
                      <w:rPr>
                        <w:rFonts w:hint="eastAsia" w:ascii="宋体" w:hAnsi="宋体" w:cs="宋体"/>
                        <w:sz w:val="28"/>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FEF9F"/>
    <w:multiLevelType w:val="singleLevel"/>
    <w:tmpl w:val="56DFEF9F"/>
    <w:lvl w:ilvl="0" w:tentative="0">
      <w:start w:val="1"/>
      <w:numFmt w:val="decimal"/>
      <w:suff w:val="nothing"/>
      <w:lvlText w:val="%1"/>
      <w:lvlJc w:val="center"/>
      <w:pPr>
        <w:ind w:left="-119" w:firstLine="11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014A48"/>
    <w:rsid w:val="00054967"/>
    <w:rsid w:val="0009458A"/>
    <w:rsid w:val="000D145D"/>
    <w:rsid w:val="001C164A"/>
    <w:rsid w:val="00641FBB"/>
    <w:rsid w:val="00951A77"/>
    <w:rsid w:val="00A40FBB"/>
    <w:rsid w:val="00BB692E"/>
    <w:rsid w:val="00DB60EB"/>
    <w:rsid w:val="027312BD"/>
    <w:rsid w:val="074F5C40"/>
    <w:rsid w:val="1B101E92"/>
    <w:rsid w:val="1BE7030D"/>
    <w:rsid w:val="2EA04264"/>
    <w:rsid w:val="3B807DAB"/>
    <w:rsid w:val="3DF46D6B"/>
    <w:rsid w:val="42986A22"/>
    <w:rsid w:val="49014A48"/>
    <w:rsid w:val="5DEA7E7B"/>
    <w:rsid w:val="73A879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6"/>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1031</Words>
  <Characters>5881</Characters>
  <Lines>49</Lines>
  <Paragraphs>13</Paragraphs>
  <TotalTime>13</TotalTime>
  <ScaleCrop>false</ScaleCrop>
  <LinksUpToDate>false</LinksUpToDate>
  <CharactersWithSpaces>6899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2021-06-01T01:04:00Z</dcterms:created>
  <dc:creator>qy</dc:creator>
  <cp:lastModifiedBy>Lenovo</cp:lastModifiedBy>
  <dcterms:modified xsi:type="dcterms:W3CDTF">2025-04-01T07:04:06Z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