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left"/>
        <w:textAlignment w:val="center"/>
        <w:rPr>
          <w:rFonts w:asciiTheme="minorEastAsia" w:hAnsiTheme="minorEastAsia" w:eastAsiaTheme="minorEastAsia" w:cstheme="minorEastAsia"/>
          <w:bCs/>
          <w:color w:val="000000"/>
          <w:kern w:val="0"/>
          <w:sz w:val="24"/>
        </w:rPr>
      </w:pPr>
    </w:p>
    <w:p>
      <w:pPr>
        <w:widowControl/>
        <w:spacing w:line="600" w:lineRule="exact"/>
        <w:jc w:val="center"/>
        <w:textAlignment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 xml:space="preserve">    </w:t>
      </w:r>
      <w:r>
        <w:rPr>
          <w:rFonts w:hint="eastAsia" w:ascii="方正小标宋简体" w:hAnsi="方正小标宋简体" w:eastAsia="方正小标宋简体" w:cs="方正小标宋简体"/>
          <w:bCs/>
          <w:color w:val="000000"/>
          <w:kern w:val="0"/>
          <w:sz w:val="44"/>
          <w:szCs w:val="44"/>
        </w:rPr>
        <w:t>绥阳县工业能源和科学技术局(绥阳县商务局)权力清单和责任清单目录(</w:t>
      </w:r>
      <w:r>
        <w:rPr>
          <w:rFonts w:hint="eastAsia" w:ascii="方正小标宋简体" w:hAnsi="方正小标宋简体" w:eastAsia="方正小标宋简体" w:cs="方正小标宋简体"/>
          <w:bCs/>
          <w:color w:val="auto"/>
          <w:kern w:val="0"/>
          <w:sz w:val="44"/>
          <w:szCs w:val="44"/>
          <w:lang w:val="en-US" w:eastAsia="zh-CN"/>
        </w:rPr>
        <w:t>49</w:t>
      </w:r>
      <w:r>
        <w:rPr>
          <w:rFonts w:hint="eastAsia" w:ascii="方正小标宋简体" w:hAnsi="方正小标宋简体" w:eastAsia="方正小标宋简体" w:cs="方正小标宋简体"/>
          <w:bCs/>
          <w:color w:val="000000"/>
          <w:kern w:val="0"/>
          <w:sz w:val="44"/>
          <w:szCs w:val="44"/>
        </w:rPr>
        <w:t>项)</w:t>
      </w:r>
    </w:p>
    <w:tbl>
      <w:tblPr>
        <w:tblStyle w:val="6"/>
        <w:tblW w:w="0" w:type="auto"/>
        <w:tblInd w:w="0" w:type="dxa"/>
        <w:tblLayout w:type="fixed"/>
        <w:tblCellMar>
          <w:top w:w="15" w:type="dxa"/>
          <w:left w:w="15" w:type="dxa"/>
          <w:bottom w:w="15" w:type="dxa"/>
          <w:right w:w="15" w:type="dxa"/>
        </w:tblCellMar>
      </w:tblPr>
      <w:tblGrid>
        <w:gridCol w:w="411"/>
        <w:gridCol w:w="480"/>
        <w:gridCol w:w="1350"/>
        <w:gridCol w:w="3780"/>
        <w:gridCol w:w="4890"/>
        <w:gridCol w:w="1845"/>
        <w:gridCol w:w="853"/>
        <w:gridCol w:w="1060"/>
        <w:gridCol w:w="771"/>
      </w:tblGrid>
      <w:tr>
        <w:tblPrEx>
          <w:tblCellMar>
            <w:top w:w="15" w:type="dxa"/>
            <w:left w:w="15" w:type="dxa"/>
            <w:bottom w:w="15" w:type="dxa"/>
            <w:right w:w="15"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序号</w:t>
            </w:r>
          </w:p>
        </w:tc>
        <w:tc>
          <w:tcPr>
            <w:tcW w:w="4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color w:val="auto"/>
                <w:szCs w:val="21"/>
              </w:rPr>
            </w:pPr>
            <w:r>
              <w:rPr>
                <w:rFonts w:hint="eastAsia" w:ascii="黑体" w:hAnsi="黑体" w:eastAsia="黑体" w:cs="宋体"/>
                <w:color w:val="auto"/>
                <w:szCs w:val="21"/>
              </w:rPr>
              <w:t>权力</w:t>
            </w:r>
          </w:p>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类型</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权力名称</w:t>
            </w:r>
          </w:p>
        </w:tc>
        <w:tc>
          <w:tcPr>
            <w:tcW w:w="37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权力依据</w:t>
            </w:r>
          </w:p>
        </w:tc>
        <w:tc>
          <w:tcPr>
            <w:tcW w:w="489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责任事项</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color w:val="auto"/>
                <w:szCs w:val="21"/>
              </w:rPr>
            </w:pPr>
            <w:r>
              <w:rPr>
                <w:rFonts w:hint="eastAsia" w:ascii="黑体" w:hAnsi="黑体" w:eastAsia="黑体" w:cs="宋体"/>
                <w:color w:val="auto"/>
                <w:szCs w:val="21"/>
              </w:rPr>
              <w:t>责任事项</w:t>
            </w:r>
          </w:p>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依据</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color w:val="auto"/>
                <w:szCs w:val="21"/>
              </w:rPr>
            </w:pPr>
            <w:r>
              <w:rPr>
                <w:rFonts w:hint="eastAsia" w:ascii="黑体" w:hAnsi="黑体" w:eastAsia="黑体" w:cs="宋体"/>
                <w:color w:val="auto"/>
                <w:szCs w:val="21"/>
              </w:rPr>
              <w:t>承办</w:t>
            </w:r>
          </w:p>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机构</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追责对象范围</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备注</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8"/>
                <w:szCs w:val="18"/>
              </w:rPr>
            </w:pPr>
            <w:r>
              <w:rPr>
                <w:rFonts w:hint="eastAsia" w:ascii="宋体" w:hAnsi="宋体" w:cs="宋体"/>
                <w:color w:val="auto"/>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工业固定资产投资项目节能评估和审查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1.《中华人民共和国节约能源法》第十五条；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2.《固定资产投资项目节能审查办法》第五条；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3.《贵州省节约能源条例》第十六条；                      4.《贵州省固定资产投资项目节能审查实施办法》第六条；</w:t>
            </w:r>
          </w:p>
          <w:p>
            <w:pPr>
              <w:widowControl/>
              <w:spacing w:line="240" w:lineRule="exact"/>
              <w:jc w:val="left"/>
              <w:textAlignment w:val="center"/>
              <w:rPr>
                <w:color w:val="auto"/>
              </w:rPr>
            </w:pPr>
            <w:r>
              <w:rPr>
                <w:rFonts w:hint="eastAsia" w:ascii="宋体" w:hAnsi="宋体" w:cs="宋体"/>
                <w:color w:val="auto"/>
                <w:kern w:val="0"/>
                <w:sz w:val="18"/>
                <w:szCs w:val="18"/>
              </w:rPr>
              <w:t>5.《贵州省人民政府关于调整行政许可等事项的决定》（省政府令2019第193号）附件5。</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1.受理责任：公示法定应当提交的材料；一次性告知补正材料；依法受理或不予受理申请（不予受理的说明理由）。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4.送达责任：在规定期限内向申请人送达行政许可证件；建立信息档案；公开有关信息。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5.事中事后责任：建立健全事中事后监管措施，加强监管。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《行政许可法》第三十、三十二、三十四、三十七、三十八、三十九、四十、四十二、四十四、六十一条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auto"/>
                <w:sz w:val="18"/>
                <w:szCs w:val="18"/>
              </w:rPr>
            </w:pPr>
            <w:r>
              <w:rPr>
                <w:rFonts w:hint="eastAsia" w:ascii="宋体" w:hAnsi="宋体" w:cs="宋体"/>
                <w:color w:val="auto"/>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汽车加气站经营许可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1.《城镇燃气管理条例》（国务院令583号）第十五条；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2.《贵州省燃气管理条例》（2001年1月5日贵州省第九届人大常务委员会第二十次会议通过）第十七条；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3.《关于做好我省汽车加气站经营许可管理工作的通知（黔商发〔2013〕160号）；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4.《遵义市人民政府公告》（〔2</w:t>
            </w:r>
            <w:r>
              <w:rPr>
                <w:rFonts w:hint="eastAsia" w:ascii="宋体" w:hAnsi="宋体" w:cs="宋体"/>
                <w:color w:val="auto"/>
                <w:kern w:val="0"/>
                <w:sz w:val="18"/>
                <w:szCs w:val="18"/>
                <w:lang w:val="en-US" w:eastAsia="zh-CN"/>
              </w:rPr>
              <w:t>018</w:t>
            </w:r>
            <w:r>
              <w:rPr>
                <w:rFonts w:hint="eastAsia" w:ascii="宋体" w:hAnsi="宋体" w:cs="宋体"/>
                <w:color w:val="auto"/>
                <w:kern w:val="0"/>
                <w:sz w:val="18"/>
                <w:szCs w:val="18"/>
              </w:rPr>
              <w:t>〕第2号）附件4第5项。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1.受理责任：公示法定应当提交的材料；一次性告知补正材料；依法受理或不予受理申请（不予受理的说明理由）。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w:t>
            </w:r>
            <w:r>
              <w:rPr>
                <w:rFonts w:hint="eastAsia" w:ascii="宋体" w:hAnsi="宋体" w:cs="宋体"/>
                <w:color w:val="auto"/>
                <w:spacing w:val="-6"/>
                <w:kern w:val="0"/>
                <w:sz w:val="18"/>
                <w:szCs w:val="18"/>
              </w:rPr>
              <w:t>任：对申请人提交的申请材料进行审查，提出审查意见。</w:t>
            </w:r>
            <w:r>
              <w:rPr>
                <w:rFonts w:hint="eastAsia" w:ascii="宋体" w:hAnsi="宋体" w:cs="宋体"/>
                <w:color w:val="auto"/>
                <w:spacing w:val="-6"/>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4.送达责任：在规定期限内向申请人送达行政许可证件；建立信息档案；公开有关信息。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5.事中事后责任：建立健全事中事后监管措施，加强监管。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《行政许可法》第三十、三十二、三十四、三十七、三十八、三十九、四十、四十二、四十四、六十一条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成品油零售经营许可（初审）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auto"/>
              </w:rPr>
            </w:pPr>
            <w:r>
              <w:rPr>
                <w:rFonts w:hint="eastAsia" w:ascii="宋体" w:hAnsi="宋体" w:cs="宋体"/>
                <w:color w:val="auto"/>
                <w:kern w:val="0"/>
                <w:sz w:val="18"/>
                <w:szCs w:val="18"/>
              </w:rPr>
              <w:t>1.《成品油市场管理办法》（商务部令2006年 第23号）第六条；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2.《贵州省成品油市场管理实施细则》（黔商发〔2011〕95号）第十三条。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1.受理责任：公示法定应当提交的材料；一次性告知补正材料；依法受理或不予受理申请（不予受理的说明理由）。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4.送达责任：在规定期限内向申请人送达行政许可证件；建立信息档案；公开有关信息。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5.事中事后责任：建立健全事中事后监管措施，加强监管。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《行政许可法》第三十、三十二、三十四、三十七、三十八、三十九、四十、四十二、四十四、六十一条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300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对报废汽车回收企业实施监督检查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1.《报废机动车回收管理办法》（国务院令第715号）第6条 。</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2.《报废机动车回收管理办法实施细则》（商务部令2020年2号） 。</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1.检查责任：定期根据法律法规对相关工作开展检查。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2.处置责任：根据有关规定作出相应处置措施。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3.事后管理责任：对检查情况进行汇总、分类、归档备查，并跟踪监测。</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《报废机动车回收管理办法》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市场流通和发展管理股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对二手车交易市场经营者和经营主体的监督管理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《二手车流通管理办法》第三十五条、第三十六条。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1.检查责任：定期根据法律法规对相关工作开展检查。</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2.处置责任：根据有关规定作出相应处置措施。</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3.事后管理责任：对检查情况进行汇总、分类、归档备查，并跟踪监测。</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《二手车流通管理办法》 </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40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单用途商业预付卡管理备案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auto"/>
              </w:rPr>
            </w:pPr>
            <w:r>
              <w:rPr>
                <w:rFonts w:hint="eastAsia" w:ascii="宋体" w:hAnsi="宋体" w:cs="宋体"/>
                <w:color w:val="auto"/>
                <w:kern w:val="0"/>
                <w:sz w:val="18"/>
                <w:szCs w:val="18"/>
              </w:rPr>
              <w:t>《单用途商业预付卡管理办法（试行）》(商务部令2012年第9号)第七条。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《单用途商业预付卡管理办法（试行）》</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市场贸易和消费促进股、派驻政务服务中心窗口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对外劳务合作备用金使用管理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《对外劳务合作风险处置备用金管理办法》（试行）第三条、第二十二条。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《对外劳务合作风险处置备用金管理办法》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市场贸易和消费促进股、派驻政务服务中心窗口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再生资源回收经营者备案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1.《再生资源回收管理办法》第七条 </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4.省工商局等十三部门关于贯彻落实全国统一“多证合一”改革意见的通知（黔工商注〔2018〕14号）附表第12项。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《再生资源回收管理办法》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市场贸易和消费促进股、派驻政务服务中心窗口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纳入“多证合一”改革。</w:t>
            </w:r>
            <w:bookmarkStart w:id="0" w:name="_GoBack"/>
            <w:bookmarkEnd w:id="0"/>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从事洗染经营活动的备案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《洗染业管理办法》（商务部、国家工商总局、环保总局令2007年第5号）第五条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《洗染业管理办法》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95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企业不使用政府投资建设的除重大和限制类项目外的技术改造项目及工业、信息化固定资产投资项目备案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1.《国务院关于投资体制改革的决定》（国发〔2004〕20号）；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2.《企业投资项目核准和备案管理条例》（国务院令第673号）；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3.《企业投资项目核准和备案管理办法》（国家发改委令2017年第2号）；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4.《省人民政府关于印发贵州省企业投资项目核准和备案管理办法的通知》（黔府发〔2018〕7号）第三条；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5.《省人民政府办公厅转发省发展改革委加快推进全省固定资产投资和重大项目建设有关工作制度的通知》（黔府办发〔2010〕125号）。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1.《国务院关于投资体制改革的决定》；</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2.《企业投资项目核准和备案管理条例》第5、15、16、17条；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3.《企业投资项目核准和备案管理办法》第9、10、11、13、41、43条；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4.《贵州省企业投资项目核准和备案管理办法》</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第9、10、11、13、41、43条。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《成品油零售经营批准证书》变更（不涉及投资主体发生变化）（初审）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1.《贵州省成品油市场管理实施细则》（黔商发〔2011〕95号）第二十条；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《成品油零售经营批准证书》遗失补办（初审）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1.《贵州省成品油市场管理实施细则》（黔商发〔2011〕95号）第二十条；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加油站延期建设（初审）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1.《成品油市场管理办法》（商务部令2006年第23号）；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成品油经营企业暂时歇业审核</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1.《成品油市场管理办法》（商务部令2006年第23号）；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加油站经营资格注消（初审）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1.《成品油市场管理办法》（商务部令2006年第23号）；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二手车交易市场及二手车经营主体备案管理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1.《二手车流通管理办法》（商务部、公安部、国家工商行政管理总局、国家税务总局令2005年第2号公布，商务部令2017年第3号修正）；</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4.省工商局等十三部门关于贯彻落实全国统一“多证合一”改革意见的通知（黔工商注〔2018〕14号）附表第34项。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《二手车流通管理办法》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纳入“多证合一”改革。</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对生产经营单位使用未取得特种作业操作证的特种作业人员上岗作业的处罚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1.《特种作业人员安全技术培训考核管理规定》（国家安监总局令第30号）第三十九条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2.煤矿企业使用未取得特种作业操作证的特种作业人员上岗作业的，依照《国务院关于预防煤矿生产安全事故的特别规定》的规定处罚。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93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对《生产经营单位安全培训规定》第三十条规定行为的处罚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　《生产经营单位安全培训规定》第三十条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1.煤矿、非煤矿山、危险化学品、烟花爆竹、金属冶炼等生产经营单位主要负责人和安全管理人员未按照规定经考核合格的；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2.未按照规定对从业人员、被派遣劳动者、实习学生进行安全生产教育和培训或者未如实告知其有关安全生产事项的；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4.特</w:t>
            </w:r>
            <w:r>
              <w:rPr>
                <w:rFonts w:hint="eastAsia" w:ascii="宋体" w:hAnsi="宋体" w:cs="宋体"/>
                <w:color w:val="000000"/>
                <w:spacing w:val="-6"/>
                <w:kern w:val="0"/>
                <w:sz w:val="18"/>
                <w:szCs w:val="18"/>
                <w:lang w:val="en-US" w:eastAsia="zh-CN"/>
              </w:rPr>
              <w:t>种作业人员未按照规定经专门的安全技术培训并取得特种作业人员操作资格证书，上岗作业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r>
              <w:rPr>
                <w:rFonts w:hint="eastAsia" w:ascii="宋体" w:hAnsi="宋体" w:cs="宋体"/>
                <w:color w:val="000000"/>
                <w:kern w:val="0"/>
                <w:sz w:val="18"/>
                <w:szCs w:val="18"/>
                <w:lang w:val="en-US" w:eastAsia="zh-CN"/>
              </w:rPr>
              <w:t>。</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对煤矿未依法取得采矿许可证、安全生产许可证、营业执照和矿长未依法取得矿长资格证、矿长安全资格证进行非法生产的处罚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《煤矿安全生产条例》第六十一条  煤矿未依法取得采矿许可证、安全生产许可证、营业执照和矿长未依法取得矿长资格证、矿长安全资格证的，煤矿不得从事生产。擅自从事生产的，属非法煤矿。</w:t>
            </w:r>
            <w:r>
              <w:rPr>
                <w:rFonts w:hint="eastAsia" w:ascii="宋体" w:hAnsi="宋体" w:cs="宋体"/>
                <w:color w:val="auto"/>
                <w:kern w:val="0"/>
                <w:sz w:val="18"/>
                <w:szCs w:val="18"/>
                <w:lang w:val="en-US" w:eastAsia="zh-CN"/>
              </w:rPr>
              <w:br w:type="textWrapping"/>
            </w:r>
            <w:r>
              <w:rPr>
                <w:rFonts w:hint="eastAsia" w:ascii="宋体" w:hAnsi="宋体" w:cs="宋体"/>
                <w:color w:val="auto"/>
                <w:kern w:val="0"/>
                <w:sz w:val="18"/>
                <w:szCs w:val="18"/>
                <w:lang w:val="en-US" w:eastAsia="zh-CN"/>
              </w:rPr>
              <w:t>颁发前款规定证照的部门，一经发现煤矿无证照或者证照不全从事生产的，应当责令该煤矿立即停止生产，没收违法所得和开采出的煤炭以及采掘设备，并处违法所得2倍以上5倍以下的罚款；构成犯罪的，依法追究刑事责任；同时于2日内提请当地县级以上地方人民政府予以关闭，并可以向上一级地方人民政府报告。</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000000"/>
                <w:kern w:val="0"/>
                <w:sz w:val="18"/>
                <w:szCs w:val="18"/>
                <w:lang w:val="en-US" w:eastAsia="zh-CN"/>
              </w:rPr>
              <w:t>20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对煤矿未按规定建立并落实安全风险分级管控制度和事故隐患排查治理制度的，或重大事故隐患排查治理情况未按规定报告的处罚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《煤矿安全生产条例》第六十二条第六款  煤矿企业未建立健全安全生产隐患排查、治理和报告制度建立并落</w:t>
            </w:r>
            <w:r>
              <w:rPr>
                <w:rFonts w:hint="eastAsia" w:ascii="宋体" w:hAnsi="宋体" w:cs="宋体"/>
                <w:color w:val="auto"/>
                <w:kern w:val="0"/>
                <w:sz w:val="18"/>
                <w:szCs w:val="18"/>
                <w:lang w:val="en-US" w:eastAsia="zh-CN"/>
              </w:rPr>
              <w:t xml:space="preserve">实安全风险分级管控制度和事故隐患排查治理制度；对存在重大事故隐患排查治理情况未按规定进行报告；责令限期改正，可以处10万元以下罚款；逾期未改正的，责令停产停业整顿，并处10万元以上20万元以下的罚款，对其直接负责的主管人员和其他直接责任人员处2万元以上5万元以下的罚款。  </w:t>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1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auto"/>
                <w:kern w:val="0"/>
                <w:sz w:val="18"/>
                <w:szCs w:val="18"/>
                <w:lang w:val="en-US" w:eastAsia="zh-CN"/>
              </w:rPr>
              <w:t>对煤矿存在重大安全隐患仍进行生产的处罚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auto"/>
                <w:kern w:val="0"/>
                <w:sz w:val="18"/>
                <w:szCs w:val="18"/>
                <w:lang w:val="en-US" w:eastAsia="zh-CN"/>
              </w:rPr>
              <w:t>《煤矿安全生产条例》第六十四条  煤矿存在重大隐患，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对煤矿企业特种作业人员未按照规定经专门的安全作业培训并取得相应资格，上岗作业的处罚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《煤矿安全生产条例》第六十二条第四款  煤矿企业特种作业人员未按照规定经专门的安全作业培训并取得相应资格，上岗作业的，责令限期改正，可以处5万元以下罚款；逾期未改正的，责令停产停业整顿，并处5万元以上20万元以下的罚款，对其直接负责的主管人员和其他直接责任人员处1万元以上2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auto"/>
                <w:kern w:val="0"/>
                <w:sz w:val="18"/>
                <w:szCs w:val="18"/>
                <w:lang w:val="en-US" w:eastAsia="zh-CN"/>
              </w:rPr>
              <w:t>对未按照规定制定全员安全生产责任制和领导下井带班等安全生产规章制度的处罚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auto"/>
                <w:kern w:val="0"/>
                <w:sz w:val="18"/>
                <w:szCs w:val="18"/>
                <w:lang w:val="en-US" w:eastAsia="zh-CN"/>
              </w:rPr>
              <w:t>《煤矿安全生产条例》第六十三条第一款  对未按照规定制定全员安全生产责任制和领导下井带班等安全生产规章制度，责令限期改正，处10万元以上20万元以下的罚款，逾期未改正的，责令停产整顿，并处20万元以上50万元以下的罚款，对其直接负责的主管人员和其他直接责任人员处3万元以上5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7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对《煤矿领导带班下井及安全监督检查规定》第十八条规定情形的处罚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《煤矿领导带班下井及安全监督检查规定》第十八条  煤矿有下列情形之一的，给予警告，并处3万元罚款；对煤矿主要负责人处1万元罚款：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（一）未建立健全煤矿领导带班下井制度的；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（二）未建立煤矿领导井下交接班制度的；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（三）未建立煤矿领导带班下井档案管理制度的；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（四）煤矿领导每月带班下井情况未按照规定公示的；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（五）未按规定填写煤矿领导下井交接班记录簿、带班下井记录或者保存带班下井相关记录档案的。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2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对煤矿领导未按规定带班下井，或者带班下井档案虚假的处罚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《煤矿领导带班下井及安全监督检查规定》第十九条  煤矿领导未按规定带班下井，或者带班下井档案虚假的，责令改正，并对该煤矿处15万元的罚款，对违反规定的煤矿领导按照擅离职守处理，对煤矿主要负责人处1万元的罚款。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8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对发生事故而没有煤矿领导带班下井的煤矿的处罚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《煤矿领导带班下井及安全监督检查规定》第二十一条  对发生事故而没有煤矿领导带班下井的煤矿，对其主要负责人依法暂扣或者吊销其安全资格证，并依照下列规定处以罚款：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（一）发生一般事故的，处上一年年收入30%的罚款；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（二）发生较大事故的，处上一年年收入40%的罚款；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（三）发生重大事故的，处上一年年收入60%的罚款；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（四）发生特别重大事故的，处上一年年收入80%的罚款。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89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对开采煤炭资源未达到国务院煤炭管理部门规定的煤炭资源回采率的处罚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《煤炭法》第五十七条　违反本法第二十二条的规定，开采煤炭资源未达到国务院煤炭管理部门规定的煤炭资源回采率的，由煤炭管理部门责令限期改正；逾期仍达不到规定的回采率的，责令停止生产。</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第二十二条  开采煤炭资源必须符合煤矿开采规程，遵守合理的开采顺序，达到规定的煤炭资源回采率。</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煤炭资源回采率由国务院煤炭管理部门根据不同的资源和开采条件确定。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国家鼓励煤矿企业进行复采或者开采边角残煤和极薄煤。</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对擅自开采保安煤柱或者采用危及相邻煤矿生产安全的危险方法进行采矿作业的处罚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《煤炭法》第五十八条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对未经批准或者未采取安全措施，在煤矿采区范围内进行危及煤矿安全作业的处罚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《煤炭法》第六十二条　违反本法第五十二条的规定，未经批准或者未采取安全措施，在煤矿采区范围内进行危及煤矿安全作业的，由煤炭管理部门责令停止作业，可以并处五万元以下的罚款；造成损失的，依法承担赔偿责任。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对生产经营单位未建立特种作业人员档案的处罚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《特种作业人员安全技术培训考核管理规定》第三十八条 生产经营单位未建立健全特种作业人员档案的，给予警告，并处1万元以下的罚款。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生产经营单位非法印制、伪造、倒卖特种作业操作证，或者使用非法印制、伪造、倒卖的特种作业操作证的处罚。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特种作业人员伪造、涂改特种作业操作证或者使用伪造的特种作业操作证，转借转让、冒用特种作业操作证的处罚。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《特种作业人员安全技术培训考核管理规定》第四十一条 特种作业人员伪造、涂改特种作业操作证或者使用伪造的特种作业操作证的，给予警告，并处1000元以上5000元以下的罚款。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特种作业人员转借、转让、冒用特种作业操作证的，给予警告，并处2000元以上1万元以下的罚款。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对承担安全评价、认证、检测、检验工作的机构，出具虚假证明的；承担安全评价、认证、检测、检验职责的机构租借资质、挂靠、出具虚假报告的处罚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《安全生产事故隐患排查治理暂行规定》第二十七条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限制人身自由的行政处罚权只能由公安机关和法律规定的其他机关行使。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对生产经营单位的决策机构、主要负责人、个人经营的投资人不依法保证安全生产所必需的资金投入，致使不具备安全生产条件，发生生产安全事故的处罚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有前款</w:t>
            </w:r>
            <w:r>
              <w:rPr>
                <w:rFonts w:hint="eastAsia" w:ascii="宋体" w:hAnsi="宋体" w:cs="宋体"/>
                <w:color w:val="000000"/>
                <w:spacing w:val="-6"/>
                <w:kern w:val="0"/>
                <w:sz w:val="18"/>
                <w:szCs w:val="18"/>
                <w:lang w:val="en-US" w:eastAsia="zh-CN"/>
              </w:rPr>
              <w:t>违法行为，导致发生生产安全事故的，对生产经营单位的主要负责人给予撤职处分，对个人经营的投资人处二万元以上二十万元以下的罚款；构成犯罪的，依照刑法有关规定追究刑事责任。《安全生产违法行为行政处罚办法》（国家安监总局令第15号）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w:t>
            </w:r>
            <w:r>
              <w:rPr>
                <w:rFonts w:hint="eastAsia" w:ascii="宋体" w:hAnsi="宋体" w:cs="宋体"/>
                <w:color w:val="000000"/>
                <w:kern w:val="0"/>
                <w:sz w:val="18"/>
                <w:szCs w:val="18"/>
                <w:lang w:val="en-US" w:eastAsia="zh-CN"/>
              </w:rPr>
              <w:t>单位处1万元以上3万元以下罚款，对生产经营单位的主要负责人、个人经营的投资人处5000元以上1万元以下罚款;逾期未改正的，责令生产经营单位停产停业整顿：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(一)提取或者使用安全生产费用;</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(二)用于配备劳动防护用品的经费;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(三)用于安全生产教育和培训的经费;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w:t>
            </w:r>
            <w:r>
              <w:rPr>
                <w:rFonts w:hint="eastAsia" w:ascii="宋体" w:hAnsi="宋体" w:cs="宋体"/>
                <w:color w:val="000000"/>
                <w:spacing w:val="-6"/>
                <w:kern w:val="0"/>
                <w:sz w:val="18"/>
                <w:szCs w:val="18"/>
                <w:lang w:val="en-US" w:eastAsia="zh-CN"/>
              </w:rPr>
              <w:t xml:space="preserve">国家规定的其他安全生产所必须的资金投入。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生产经营单位主要负责人、个人经营的投资人有前款违法行为，导致发生生产安全事故的，依照《生产安全事故罚款处罚规定(试行)》的规定给予处罚。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对生产经营单位的主要负责人未履行本法规定的安全生产管理职责的的处罚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xml:space="preserve"> 《安全生产法》第九十四条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生产经营单位的主要负责人有前款违法行为，导致发生生产安全事故的，给予撤职处分；构成犯罪的，依照刑法有关规定追究刑事责任。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w:t>
            </w:r>
            <w:r>
              <w:rPr>
                <w:rFonts w:hint="eastAsia" w:ascii="宋体" w:hAnsi="宋体" w:cs="宋体"/>
                <w:color w:val="000000"/>
                <w:spacing w:val="-6"/>
                <w:kern w:val="0"/>
                <w:sz w:val="18"/>
                <w:szCs w:val="18"/>
                <w:lang w:val="en-US" w:eastAsia="zh-CN"/>
              </w:rPr>
              <w:t>对依据监督检查职权或者通过举报、投诉、其他部门移送、上级部门交办等途径发现的违法行为线索，决定是否立案。</w:t>
            </w:r>
            <w:r>
              <w:rPr>
                <w:rFonts w:hint="eastAsia" w:ascii="宋体" w:hAnsi="宋体" w:cs="宋体"/>
                <w:color w:val="000000"/>
                <w:spacing w:val="-6"/>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1006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对生产经营单位的其他负责人和安全生产管理人员未履行本法规定的安全生产管理职责的处罚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（一）未按照规定设置安全生产管理机构或者配备安全生产管理人员、注册安全工程师的；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（二）危险物品的生产、经营、储存、装卸单位以及矿山、金属冶炼、建筑施工、运输单位的主要负责人和安全生产管理人员未按照规定经考核合格的；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（三）未按照规定对从业人员、被派遣劳动者、实习学生进行安全生产教育和培训，或者未按照规定如实告知有关的安全生产事项的；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（五）未将事故隐患排查治理情况如实记录或者未向从业人员通报的；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（六）未按照规定制定生产安全事故应急救援预案或者未定期组织演练的；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（七）特种作业人员未按照规定经专门的安全作业培训并取得相应资格，上岗作业的。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05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对建设项目违法责任的处罚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（一）未按照规定对矿山、金属冶炼建设项目或者用于生产、储存、装卸危险物品的建设项目进行安全评价的；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（二）矿山、金属冶炼建设项目或者用于生产、储存、装卸危险物品的建设项目没有安全设施设计或者安全设施设计未按照规定报经有关部门审查同意的；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（三）矿山、金属冶炼建设项目或者用于生产、储存、装卸危险物品的建设项目的施工单位未按照批准的安全设施设计施工的；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（四）矿山、金属冶炼建设项目或者用于生产、储存、装卸危险物品的建设项目竣工投入生产或者使用前，安全设施未经验收合格的。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单位法定代表人、分管领导、</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1.未在有较大危险因素的生产经营场所和有关设施、设备上设置明显的安全警示标志的；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2.安全设备的安装、使用、检测、改造和报废不符合国家标准或者行业标准的；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3.未对安</w:t>
            </w:r>
            <w:r>
              <w:rPr>
                <w:rFonts w:hint="eastAsia" w:ascii="宋体" w:hAnsi="宋体" w:cs="宋体"/>
                <w:color w:val="000000"/>
                <w:spacing w:val="-11"/>
                <w:kern w:val="0"/>
                <w:sz w:val="18"/>
                <w:szCs w:val="18"/>
                <w:lang w:val="en-US" w:eastAsia="zh-CN"/>
              </w:rPr>
              <w:t>全设备进行经常性维护、保养和定期检测的；</w:t>
            </w:r>
            <w:r>
              <w:rPr>
                <w:rFonts w:hint="eastAsia" w:ascii="宋体" w:hAnsi="宋体" w:cs="宋体"/>
                <w:color w:val="000000"/>
                <w:spacing w:val="-11"/>
                <w:kern w:val="0"/>
                <w:sz w:val="18"/>
                <w:szCs w:val="18"/>
                <w:lang w:val="en-US" w:eastAsia="zh-CN"/>
              </w:rPr>
              <w:br w:type="textWrapping"/>
            </w:r>
            <w:r>
              <w:rPr>
                <w:rFonts w:hint="eastAsia" w:ascii="宋体" w:hAnsi="宋体" w:cs="宋体"/>
                <w:color w:val="000000"/>
                <w:kern w:val="0"/>
                <w:sz w:val="18"/>
                <w:szCs w:val="18"/>
                <w:lang w:val="en-US" w:eastAsia="zh-CN"/>
              </w:rPr>
              <w:t>4.关闭、破坏直接关系生产安全的监控、报警、防护、救生设备、设施，或者篡改、隐瞒、销毁其相关数据、信息的；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5.未为从业人员提供符合国家标准或者行业标准的劳动防护用品的；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7.使用应当淘</w:t>
            </w:r>
            <w:r>
              <w:rPr>
                <w:rFonts w:hint="eastAsia" w:ascii="宋体" w:hAnsi="宋体" w:cs="宋体"/>
                <w:color w:val="000000"/>
                <w:spacing w:val="-11"/>
                <w:kern w:val="0"/>
                <w:sz w:val="18"/>
                <w:szCs w:val="18"/>
                <w:lang w:val="en-US" w:eastAsia="zh-CN"/>
              </w:rPr>
              <w:t>汰的危及生产安全的工艺、设备的；</w:t>
            </w:r>
            <w:r>
              <w:rPr>
                <w:rFonts w:hint="eastAsia" w:ascii="宋体" w:hAnsi="宋体" w:cs="宋体"/>
                <w:color w:val="000000"/>
                <w:spacing w:val="-11"/>
                <w:kern w:val="0"/>
                <w:sz w:val="18"/>
                <w:szCs w:val="18"/>
                <w:lang w:val="en-US" w:eastAsia="zh-CN"/>
              </w:rPr>
              <w:br w:type="textWrapping"/>
            </w:r>
            <w:r>
              <w:rPr>
                <w:rFonts w:hint="eastAsia" w:ascii="宋体" w:hAnsi="宋体" w:cs="宋体"/>
                <w:color w:val="000000"/>
                <w:kern w:val="0"/>
                <w:sz w:val="18"/>
                <w:szCs w:val="18"/>
                <w:lang w:val="en-US" w:eastAsia="zh-CN"/>
              </w:rPr>
              <w:t>8.餐饮等行业的生产经营单位使用燃气未安装可燃气体报警装置的。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51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（一）生产、经营、运输、储存、使用危险物品或者处置废弃危险物品，未建立专门安全管理制度、未采取可靠的安全措施的；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（二）对重大危险源未登记建档，未进行定期检测、评估、监控，未制定应急预案，或者未告知应急措施的；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（三）进行爆破、吊装、动火、临时用电以及国务院应急管理部门会同国务院有关部门规定的其他危险作业，未安排专门人员进行现场安全管理的；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（四）未建立安全风险分级管控制度或者未按照安全风险分级采取相应管控措施的；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（五）未建立事故隐患排查治理制度，或者重大事故隐患排查治理情况未按照规定报告的。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对生产经营单位未采取措施消除事故隐患的处罚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对生产经营单位发包、出租违法责任的处罚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对同一作业区域安全管理违法责任的处罚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516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对生产经营场所和员工宿舍违法责任的处罚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（一）生产、经营、储存、使用危险物品的车间、商店、仓库与员工宿舍在同一座建筑内，或者与员工宿舍的距离不符合安全要求的；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（二）生产经营场所和员工宿舍未设有符合紧急疏散需要、标志明显、保持畅通的出口、疏散通道，或者占用、锁闭、封堵生产经营场所或者员工宿舍出口、疏散通道的。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w:t>
            </w:r>
            <w:r>
              <w:rPr>
                <w:rFonts w:hint="eastAsia" w:ascii="宋体" w:hAnsi="宋体" w:cs="宋体"/>
                <w:color w:val="000000"/>
                <w:spacing w:val="-11"/>
                <w:kern w:val="0"/>
                <w:sz w:val="18"/>
                <w:szCs w:val="18"/>
                <w:lang w:val="en-US" w:eastAsia="zh-CN"/>
              </w:rPr>
              <w:t>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764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对免责协议违法责任的处罚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50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对生产经营单位不服从监管检查违法的处罚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高危行业、领域未按照国家规定投保安全生产责任保险的处罚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对生产经营单位被责令改正且受到罚款处罚，拒不改正的处罚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88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对生产经营单位不具备安全生产条件的处罚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（一）存在重大事故隐患，一百八十日内三次或者一年内四次受到本法规定的行政处罚的；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（二）经停产停业整顿，仍不具备法律、行政法规和国家标准或者行业标准规定的安全生产条件的；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（三）不具备法律、行政法规和国家标准或者行业标准规定的安全生产条件，导致发生重大、特别重大生产安全事故的；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（四）拒不执行负有安全生产监督管理职责的部门作出的停产停业整顿决定的。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bl>
    <w:p/>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ocumentProtection w:enforcement="0"/>
  <w:defaultTabStop w:val="420"/>
  <w:drawingGridVerticalSpacing w:val="158"/>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840"/>
    <w:rsid w:val="000D43DB"/>
    <w:rsid w:val="00172A27"/>
    <w:rsid w:val="002F7974"/>
    <w:rsid w:val="00363EAD"/>
    <w:rsid w:val="00391F09"/>
    <w:rsid w:val="00400521"/>
    <w:rsid w:val="00580695"/>
    <w:rsid w:val="005A7D71"/>
    <w:rsid w:val="006A6E6B"/>
    <w:rsid w:val="006D7C43"/>
    <w:rsid w:val="0081010B"/>
    <w:rsid w:val="00A44698"/>
    <w:rsid w:val="00A740A2"/>
    <w:rsid w:val="00AC3E05"/>
    <w:rsid w:val="00AD4C93"/>
    <w:rsid w:val="00C40E4A"/>
    <w:rsid w:val="00C84A00"/>
    <w:rsid w:val="00D079C0"/>
    <w:rsid w:val="00D20CB1"/>
    <w:rsid w:val="00E2054B"/>
    <w:rsid w:val="00F00347"/>
    <w:rsid w:val="00FC3646"/>
    <w:rsid w:val="03FE3914"/>
    <w:rsid w:val="06687863"/>
    <w:rsid w:val="08FD7D71"/>
    <w:rsid w:val="09B8656B"/>
    <w:rsid w:val="09B91A06"/>
    <w:rsid w:val="0BEC5706"/>
    <w:rsid w:val="0BEF5A18"/>
    <w:rsid w:val="0E135109"/>
    <w:rsid w:val="0EA85741"/>
    <w:rsid w:val="0F374999"/>
    <w:rsid w:val="0FBC303E"/>
    <w:rsid w:val="0FF72B00"/>
    <w:rsid w:val="10184F9C"/>
    <w:rsid w:val="12CE6D8B"/>
    <w:rsid w:val="136074EC"/>
    <w:rsid w:val="16E2551A"/>
    <w:rsid w:val="172E6ED7"/>
    <w:rsid w:val="17405F09"/>
    <w:rsid w:val="1BBC2D42"/>
    <w:rsid w:val="1BC33EA8"/>
    <w:rsid w:val="1C0C55B1"/>
    <w:rsid w:val="1CAA3C63"/>
    <w:rsid w:val="1CDE3C80"/>
    <w:rsid w:val="1D6F6909"/>
    <w:rsid w:val="1DAE26E6"/>
    <w:rsid w:val="1FEB67C3"/>
    <w:rsid w:val="1FEE5217"/>
    <w:rsid w:val="202D7BFB"/>
    <w:rsid w:val="204A784B"/>
    <w:rsid w:val="20CA0448"/>
    <w:rsid w:val="20CF0E0C"/>
    <w:rsid w:val="20D87FC8"/>
    <w:rsid w:val="213D728B"/>
    <w:rsid w:val="21EB6BA7"/>
    <w:rsid w:val="2299028D"/>
    <w:rsid w:val="22A32BC7"/>
    <w:rsid w:val="236C20F2"/>
    <w:rsid w:val="25FD0026"/>
    <w:rsid w:val="261C4006"/>
    <w:rsid w:val="267E54DD"/>
    <w:rsid w:val="27CB10A4"/>
    <w:rsid w:val="27DF5C1F"/>
    <w:rsid w:val="282853A5"/>
    <w:rsid w:val="28E36CFA"/>
    <w:rsid w:val="29637DD5"/>
    <w:rsid w:val="29FE3904"/>
    <w:rsid w:val="2A052600"/>
    <w:rsid w:val="2B2B1337"/>
    <w:rsid w:val="2B2D2242"/>
    <w:rsid w:val="2BCB05F9"/>
    <w:rsid w:val="2C2930E2"/>
    <w:rsid w:val="2CD437BB"/>
    <w:rsid w:val="2CEB6B62"/>
    <w:rsid w:val="30F54E6F"/>
    <w:rsid w:val="31A64C60"/>
    <w:rsid w:val="365C5A5B"/>
    <w:rsid w:val="36D20290"/>
    <w:rsid w:val="36F53829"/>
    <w:rsid w:val="373319B9"/>
    <w:rsid w:val="37985450"/>
    <w:rsid w:val="3902625C"/>
    <w:rsid w:val="390C6503"/>
    <w:rsid w:val="39E544C7"/>
    <w:rsid w:val="3A4318A4"/>
    <w:rsid w:val="3A604589"/>
    <w:rsid w:val="3AF3205C"/>
    <w:rsid w:val="3B6827FF"/>
    <w:rsid w:val="3BD04EA8"/>
    <w:rsid w:val="3C991558"/>
    <w:rsid w:val="3D5A465E"/>
    <w:rsid w:val="3E354656"/>
    <w:rsid w:val="3EAA22B0"/>
    <w:rsid w:val="3EF82261"/>
    <w:rsid w:val="3FA41149"/>
    <w:rsid w:val="3FDD47BE"/>
    <w:rsid w:val="40FC3197"/>
    <w:rsid w:val="421B14CD"/>
    <w:rsid w:val="42347B9A"/>
    <w:rsid w:val="43BE08C1"/>
    <w:rsid w:val="43F97CBE"/>
    <w:rsid w:val="44144523"/>
    <w:rsid w:val="44F4633E"/>
    <w:rsid w:val="45071036"/>
    <w:rsid w:val="467B45ED"/>
    <w:rsid w:val="48A279BB"/>
    <w:rsid w:val="49213892"/>
    <w:rsid w:val="4A3F6955"/>
    <w:rsid w:val="4A851FE0"/>
    <w:rsid w:val="4A9616C3"/>
    <w:rsid w:val="4C26045A"/>
    <w:rsid w:val="4DD30A4B"/>
    <w:rsid w:val="4EB6257C"/>
    <w:rsid w:val="4F066D85"/>
    <w:rsid w:val="50E20D47"/>
    <w:rsid w:val="51A64A24"/>
    <w:rsid w:val="53816CEE"/>
    <w:rsid w:val="549C038F"/>
    <w:rsid w:val="55DB5A39"/>
    <w:rsid w:val="55DD7E63"/>
    <w:rsid w:val="55EE2EF1"/>
    <w:rsid w:val="56230FC5"/>
    <w:rsid w:val="57D7349F"/>
    <w:rsid w:val="580B36EF"/>
    <w:rsid w:val="58831086"/>
    <w:rsid w:val="589D55F7"/>
    <w:rsid w:val="58A24C12"/>
    <w:rsid w:val="59766B44"/>
    <w:rsid w:val="5A254335"/>
    <w:rsid w:val="5A99635B"/>
    <w:rsid w:val="5D133214"/>
    <w:rsid w:val="5DD3580E"/>
    <w:rsid w:val="5E8B6BDD"/>
    <w:rsid w:val="5EB56722"/>
    <w:rsid w:val="601B6E37"/>
    <w:rsid w:val="603D055B"/>
    <w:rsid w:val="60823410"/>
    <w:rsid w:val="631D32C5"/>
    <w:rsid w:val="63251090"/>
    <w:rsid w:val="6328695D"/>
    <w:rsid w:val="63E325C9"/>
    <w:rsid w:val="64DD46FE"/>
    <w:rsid w:val="66DC3886"/>
    <w:rsid w:val="68984A3A"/>
    <w:rsid w:val="69593259"/>
    <w:rsid w:val="69FF20E5"/>
    <w:rsid w:val="6A1C2DF1"/>
    <w:rsid w:val="6A7A3FF4"/>
    <w:rsid w:val="6A89388B"/>
    <w:rsid w:val="6ADF49B6"/>
    <w:rsid w:val="6B534B69"/>
    <w:rsid w:val="6C210C01"/>
    <w:rsid w:val="6C2D041C"/>
    <w:rsid w:val="6CDA24CA"/>
    <w:rsid w:val="6E3F7D32"/>
    <w:rsid w:val="6F2059DD"/>
    <w:rsid w:val="70344CD5"/>
    <w:rsid w:val="708128FA"/>
    <w:rsid w:val="71DE04EC"/>
    <w:rsid w:val="72005B6A"/>
    <w:rsid w:val="74082FAD"/>
    <w:rsid w:val="74D643EF"/>
    <w:rsid w:val="756C13DA"/>
    <w:rsid w:val="75B62D12"/>
    <w:rsid w:val="76417FB3"/>
    <w:rsid w:val="765B1C12"/>
    <w:rsid w:val="77C57DFB"/>
    <w:rsid w:val="793F06BE"/>
    <w:rsid w:val="79D93FCE"/>
    <w:rsid w:val="7B33223F"/>
    <w:rsid w:val="7B701341"/>
    <w:rsid w:val="7C01104E"/>
    <w:rsid w:val="7F75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仿宋_GB2312"/>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8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Times New Roman" w:hAnsi="Times New Roman" w:cs="Times New Roman"/>
      <w:color w:val="FF0000"/>
      <w:sz w:val="20"/>
      <w:szCs w:val="20"/>
      <w:u w:val="none"/>
    </w:rPr>
  </w:style>
  <w:style w:type="character" w:customStyle="1" w:styleId="13">
    <w:name w:val="font13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6441</Words>
  <Characters>36719</Characters>
  <Lines>305</Lines>
  <Paragraphs>86</Paragraphs>
  <TotalTime>0</TotalTime>
  <ScaleCrop>false</ScaleCrop>
  <LinksUpToDate>false</LinksUpToDate>
  <CharactersWithSpaces>43074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2017-08-17T03:39:00Z</dcterms:created>
  <dc:creator>sw1</dc:creator>
  <cp:lastModifiedBy>仪雷再细刹</cp:lastModifiedBy>
  <cp:lastPrinted>2023-07-07T03:46:00Z</cp:lastPrinted>
  <dcterms:modified xsi:type="dcterms:W3CDTF">2024-12-25T02:54:33Z</dcterms:modified>
  <dc:title> 4、县工业和信息化局权力清单和责任清单目录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