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left"/>
        <w:textAlignment w:val="center"/>
        <w:rPr>
          <w:rFonts w:asciiTheme="minorEastAsia" w:hAnsiTheme="minorEastAsia" w:eastAsiaTheme="minorEastAsia" w:cstheme="minorEastAsia"/>
          <w:bCs/>
          <w:color w:val="000000"/>
          <w:kern w:val="0"/>
          <w:sz w:val="24"/>
        </w:rPr>
      </w:pPr>
    </w:p>
    <w:p>
      <w:pPr>
        <w:widowControl/>
        <w:spacing w:line="600" w:lineRule="exact"/>
        <w:jc w:val="center"/>
        <w:textAlignment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 xml:space="preserve">    </w:t>
      </w:r>
      <w:r>
        <w:rPr>
          <w:rFonts w:hint="eastAsia" w:ascii="方正小标宋简体" w:hAnsi="方正小标宋简体" w:eastAsia="方正小标宋简体" w:cs="方正小标宋简体"/>
          <w:bCs/>
          <w:color w:val="000000"/>
          <w:kern w:val="0"/>
          <w:sz w:val="44"/>
          <w:szCs w:val="44"/>
        </w:rPr>
        <w:t>绥阳县经济贸易局(绥阳县商务局)权力清单和责任清单目录(</w:t>
      </w:r>
      <w:r>
        <w:rPr>
          <w:rFonts w:hint="eastAsia" w:ascii="方正小标宋简体" w:hAnsi="方正小标宋简体" w:eastAsia="方正小标宋简体" w:cs="方正小标宋简体"/>
          <w:bCs/>
          <w:color w:val="000000"/>
          <w:kern w:val="0"/>
          <w:sz w:val="44"/>
          <w:szCs w:val="44"/>
          <w:lang w:val="en-US" w:eastAsia="zh-CN"/>
        </w:rPr>
        <w:t>54</w:t>
      </w:r>
      <w:r>
        <w:rPr>
          <w:rFonts w:hint="eastAsia" w:ascii="方正小标宋简体" w:hAnsi="方正小标宋简体" w:eastAsia="方正小标宋简体" w:cs="方正小标宋简体"/>
          <w:bCs/>
          <w:color w:val="000000"/>
          <w:kern w:val="0"/>
          <w:sz w:val="44"/>
          <w:szCs w:val="44"/>
        </w:rPr>
        <w:t>项)</w:t>
      </w:r>
    </w:p>
    <w:tbl>
      <w:tblPr>
        <w:tblStyle w:val="6"/>
        <w:tblW w:w="0" w:type="auto"/>
        <w:tblInd w:w="0" w:type="dxa"/>
        <w:tblLayout w:type="fixed"/>
        <w:tblCellMar>
          <w:top w:w="15" w:type="dxa"/>
          <w:left w:w="15" w:type="dxa"/>
          <w:bottom w:w="15" w:type="dxa"/>
          <w:right w:w="15" w:type="dxa"/>
        </w:tblCellMar>
      </w:tblPr>
      <w:tblGrid>
        <w:gridCol w:w="411"/>
        <w:gridCol w:w="480"/>
        <w:gridCol w:w="1350"/>
        <w:gridCol w:w="3780"/>
        <w:gridCol w:w="4890"/>
        <w:gridCol w:w="1845"/>
        <w:gridCol w:w="853"/>
        <w:gridCol w:w="1060"/>
        <w:gridCol w:w="771"/>
      </w:tblGrid>
      <w:tr>
        <w:tblPrEx>
          <w:tblCellMar>
            <w:top w:w="15" w:type="dxa"/>
            <w:left w:w="15" w:type="dxa"/>
            <w:bottom w:w="15" w:type="dxa"/>
            <w:right w:w="15"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序号</w:t>
            </w:r>
          </w:p>
        </w:tc>
        <w:tc>
          <w:tcPr>
            <w:tcW w:w="4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权力</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类型</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权力名称</w:t>
            </w:r>
          </w:p>
        </w:tc>
        <w:tc>
          <w:tcPr>
            <w:tcW w:w="37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权力依据</w:t>
            </w:r>
          </w:p>
        </w:tc>
        <w:tc>
          <w:tcPr>
            <w:tcW w:w="48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责任事项</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依据</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szCs w:val="21"/>
              </w:rPr>
            </w:pPr>
            <w:r>
              <w:rPr>
                <w:rFonts w:hint="eastAsia" w:ascii="黑体" w:hAnsi="黑体" w:eastAsia="黑体" w:cs="宋体"/>
                <w:szCs w:val="21"/>
              </w:rPr>
              <w:t>承办</w:t>
            </w:r>
          </w:p>
          <w:p>
            <w:pPr>
              <w:spacing w:line="240" w:lineRule="exact"/>
              <w:jc w:val="center"/>
              <w:rPr>
                <w:rFonts w:ascii="宋体" w:hAnsi="宋体" w:cs="宋体"/>
                <w:b/>
                <w:color w:val="000000"/>
                <w:kern w:val="0"/>
                <w:sz w:val="20"/>
                <w:szCs w:val="20"/>
              </w:rPr>
            </w:pPr>
            <w:r>
              <w:rPr>
                <w:rFonts w:hint="eastAsia" w:ascii="黑体" w:hAnsi="黑体" w:eastAsia="黑体" w:cs="宋体"/>
                <w:szCs w:val="21"/>
              </w:rPr>
              <w:t>机构</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追责对象范围</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kern w:val="0"/>
                <w:sz w:val="20"/>
                <w:szCs w:val="20"/>
              </w:rPr>
            </w:pPr>
            <w:r>
              <w:rPr>
                <w:rFonts w:hint="eastAsia" w:ascii="黑体" w:hAnsi="黑体" w:eastAsia="黑体" w:cs="宋体"/>
                <w:szCs w:val="21"/>
              </w:rPr>
              <w:t>备注</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工业固定资产投资项目节能评估和审查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1.《中华人民共和国节约能源法》第十五条；</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2.《固定资产投资项目节能审查办法》第五条；</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3.《贵州省节约能源条例》第十六条；                      4.《贵州省固定资产投资项目节能审查实</w:t>
            </w:r>
            <w:bookmarkStart w:id="0" w:name="_GoBack"/>
            <w:bookmarkEnd w:id="0"/>
            <w:r>
              <w:rPr>
                <w:rFonts w:hint="eastAsia" w:ascii="宋体" w:hAnsi="宋体" w:cs="宋体"/>
                <w:kern w:val="0"/>
                <w:sz w:val="18"/>
                <w:szCs w:val="18"/>
              </w:rPr>
              <w:t>施办法》第六条；</w:t>
            </w:r>
          </w:p>
          <w:p>
            <w:pPr>
              <w:widowControl/>
              <w:spacing w:line="240" w:lineRule="exact"/>
              <w:jc w:val="left"/>
              <w:textAlignment w:val="center"/>
            </w:pPr>
            <w:r>
              <w:rPr>
                <w:rFonts w:hint="eastAsia" w:ascii="宋体" w:hAnsi="宋体" w:cs="宋体"/>
                <w:kern w:val="0"/>
                <w:sz w:val="18"/>
                <w:szCs w:val="18"/>
              </w:rPr>
              <w:t>5.《贵州省人民政府关于调整行政许可等事项的决定》（省政府令2019第193号）附件5。</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FF000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FF000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限制进出口技术许可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1.《中华人民共和国对外贸易法》第十六条；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2.《中华人民共和国技术进出口管理条例》第二章。</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1.受理责任：公示法定应当提交的材料；一次性告知补正材料；依法受理或不予受理申请（不予受理的说明理由）。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4.送达责任：在规定期限内向申请人送达行政许可证件；建立信息档案；公开有关信息。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5.事中事后责任：建立健全事中事后监管措施，加强监管。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汽车加气站经营许可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1.《城镇燃气管理条例》（国务院令583号）第十五条；</w:t>
            </w:r>
            <w:r>
              <w:rPr>
                <w:rFonts w:hint="eastAsia" w:ascii="宋体" w:hAnsi="宋体" w:cs="宋体"/>
                <w:kern w:val="0"/>
                <w:sz w:val="18"/>
                <w:szCs w:val="18"/>
              </w:rPr>
              <w:br w:type="textWrapping"/>
            </w:r>
            <w:r>
              <w:rPr>
                <w:rFonts w:hint="eastAsia" w:ascii="宋体" w:hAnsi="宋体" w:cs="宋体"/>
                <w:kern w:val="0"/>
                <w:sz w:val="18"/>
                <w:szCs w:val="18"/>
              </w:rPr>
              <w:t>2.《贵州省燃气管理条例》（2001年1月5日贵州省第九届人大常务委员会第二十次会议通过）第十七条；</w:t>
            </w:r>
            <w:r>
              <w:rPr>
                <w:rFonts w:hint="eastAsia" w:ascii="宋体" w:hAnsi="宋体" w:cs="宋体"/>
                <w:kern w:val="0"/>
                <w:sz w:val="18"/>
                <w:szCs w:val="18"/>
              </w:rPr>
              <w:br w:type="textWrapping"/>
            </w:r>
            <w:r>
              <w:rPr>
                <w:rFonts w:hint="eastAsia" w:ascii="宋体" w:hAnsi="宋体" w:cs="宋体"/>
                <w:kern w:val="0"/>
                <w:sz w:val="18"/>
                <w:szCs w:val="18"/>
              </w:rPr>
              <w:t>3.《关于做好我省汽车加气站经营许可管理工作的通知（黔商发〔2013〕160号）；</w:t>
            </w:r>
          </w:p>
          <w:p>
            <w:pPr>
              <w:widowControl/>
              <w:spacing w:line="240" w:lineRule="exact"/>
              <w:jc w:val="left"/>
              <w:textAlignment w:val="center"/>
            </w:pPr>
            <w:r>
              <w:rPr>
                <w:rFonts w:hint="eastAsia" w:ascii="宋体" w:hAnsi="宋体" w:cs="宋体"/>
                <w:kern w:val="0"/>
                <w:sz w:val="18"/>
                <w:szCs w:val="18"/>
              </w:rPr>
              <w:t>4.《遵义市人民政府公告》（[2018]第2号）附件4第5项。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w:t>
            </w:r>
            <w:r>
              <w:rPr>
                <w:rFonts w:hint="eastAsia" w:ascii="宋体" w:hAnsi="宋体" w:cs="宋体"/>
                <w:spacing w:val="-6"/>
                <w:kern w:val="0"/>
                <w:sz w:val="18"/>
                <w:szCs w:val="18"/>
              </w:rPr>
              <w:t>任：对申请人提交的申请材料进行审查，提出审查意见。</w:t>
            </w:r>
            <w:r>
              <w:rPr>
                <w:rFonts w:hint="eastAsia" w:ascii="宋体" w:hAnsi="宋体" w:cs="宋体"/>
                <w:spacing w:val="-6"/>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00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对外劳务合作经营资格核准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1.《对外劳务合作</w:t>
            </w:r>
            <w:r>
              <w:rPr>
                <w:rFonts w:hint="eastAsia" w:ascii="宋体" w:hAnsi="宋体" w:cs="宋体"/>
                <w:kern w:val="0"/>
                <w:sz w:val="18"/>
                <w:szCs w:val="18"/>
                <w:lang w:val="en-US" w:eastAsia="zh-CN"/>
              </w:rPr>
              <w:t>管理</w:t>
            </w:r>
            <w:r>
              <w:rPr>
                <w:rFonts w:hint="eastAsia" w:ascii="宋体" w:hAnsi="宋体" w:cs="宋体"/>
                <w:kern w:val="0"/>
                <w:sz w:val="18"/>
                <w:szCs w:val="18"/>
              </w:rPr>
              <w:t>条例》第五条；</w:t>
            </w:r>
            <w:r>
              <w:rPr>
                <w:rFonts w:hint="eastAsia" w:ascii="宋体" w:hAnsi="宋体" w:cs="宋体"/>
                <w:kern w:val="0"/>
                <w:sz w:val="18"/>
                <w:szCs w:val="18"/>
              </w:rPr>
              <w:br w:type="textWrapping"/>
            </w:r>
            <w:r>
              <w:rPr>
                <w:rFonts w:hint="eastAsia" w:ascii="宋体" w:hAnsi="宋体" w:cs="宋体"/>
                <w:kern w:val="0"/>
                <w:sz w:val="18"/>
                <w:szCs w:val="18"/>
              </w:rPr>
              <w:t>2.《国务院对确需保留的行政审批项目设定行政许可的决定》（国务院令第412号）；</w:t>
            </w:r>
            <w:r>
              <w:rPr>
                <w:rFonts w:hint="eastAsia" w:ascii="宋体" w:hAnsi="宋体" w:cs="宋体"/>
                <w:kern w:val="0"/>
                <w:sz w:val="18"/>
                <w:szCs w:val="18"/>
              </w:rPr>
              <w:br w:type="textWrapping"/>
            </w:r>
            <w:r>
              <w:rPr>
                <w:rFonts w:hint="eastAsia" w:ascii="宋体" w:hAnsi="宋体" w:cs="宋体"/>
                <w:kern w:val="0"/>
                <w:sz w:val="18"/>
                <w:szCs w:val="18"/>
              </w:rPr>
              <w:t>3.《国务院关于第五批取消和下放管理层级行政审批项目的决定》（国发〔2010〕21号）；</w:t>
            </w:r>
            <w:r>
              <w:rPr>
                <w:rFonts w:hint="eastAsia" w:ascii="宋体" w:hAnsi="宋体" w:cs="宋体"/>
                <w:kern w:val="0"/>
                <w:sz w:val="18"/>
                <w:szCs w:val="18"/>
              </w:rPr>
              <w:br w:type="textWrapping"/>
            </w:r>
            <w:r>
              <w:rPr>
                <w:rFonts w:hint="eastAsia" w:ascii="宋体" w:hAnsi="宋体" w:cs="宋体"/>
                <w:kern w:val="0"/>
                <w:sz w:val="18"/>
                <w:szCs w:val="18"/>
              </w:rPr>
              <w:t>4.《国务院关于第五批取消和下放管理层级行政审批项目的决定》（国发〔2010〕21号）附件2第1项；</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5.《贵州省人民政府关于2013年度取消和调整行政认可项目的决定》（省政府令第146号）附件2第15项；</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6.《贵州省商务厅关于进一步提高行政效能的实施意见》（黔商发〔2013〕184号）；7.《遵义市人民政府公告》（[2018]第2号）附件4第4项。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1.受理责任：公示法定应当提交的材料；一次性告知补正材料；依法受理或不予受理申请（不予受理的说明理由）。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3.决定责任：在规定期限内作出许可或不予许可的书面决定；不予许可应告知理由，并告知相对人申请复议或提起行政诉讼的权利。</w:t>
            </w:r>
            <w:r>
              <w:rPr>
                <w:rFonts w:hint="eastAsia" w:ascii="宋体" w:hAnsi="宋体" w:cs="宋体"/>
                <w:kern w:val="0"/>
                <w:sz w:val="18"/>
                <w:szCs w:val="18"/>
              </w:rPr>
              <w:br w:type="textWrapping"/>
            </w:r>
            <w:r>
              <w:rPr>
                <w:rFonts w:hint="eastAsia" w:ascii="宋体" w:hAnsi="宋体" w:cs="宋体"/>
                <w:kern w:val="0"/>
                <w:sz w:val="18"/>
                <w:szCs w:val="18"/>
              </w:rPr>
              <w:t>4.送达责任：在规定期限内向申请人送达行政许可证件；建立信息档案；公开有关信息。</w:t>
            </w:r>
            <w:r>
              <w:rPr>
                <w:rFonts w:hint="eastAsia" w:ascii="宋体" w:hAnsi="宋体" w:cs="宋体"/>
                <w:kern w:val="0"/>
                <w:sz w:val="18"/>
                <w:szCs w:val="18"/>
              </w:rPr>
              <w:br w:type="textWrapping"/>
            </w:r>
            <w:r>
              <w:rPr>
                <w:rFonts w:hint="eastAsia" w:ascii="宋体" w:hAnsi="宋体" w:cs="宋体"/>
                <w:kern w:val="0"/>
                <w:sz w:val="18"/>
                <w:szCs w:val="18"/>
              </w:rPr>
              <w:t>5.事中事后责任：建立健全事中事后监管措施，加强监管。</w:t>
            </w:r>
            <w:r>
              <w:rPr>
                <w:rFonts w:hint="eastAsia" w:ascii="宋体" w:hAnsi="宋体" w:cs="宋体"/>
                <w:kern w:val="0"/>
                <w:sz w:val="18"/>
                <w:szCs w:val="18"/>
              </w:rPr>
              <w:br w:type="textWrapping"/>
            </w:r>
            <w:r>
              <w:rPr>
                <w:rFonts w:hint="eastAsia" w:ascii="宋体" w:hAnsi="宋体" w:cs="宋体"/>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成品油零售经营许可（初审）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1.《成品油市场管理办法》（商务部令2006年 第23号）第六条；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2.《贵州省成品油市场管理实施细则》（黔商发〔2011〕95号）第十三条。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1.受理责任：公示法定应当提交的材料；一次性告知补正材料；依法受理或不予受理申请（不予受理的说明理由）。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4.送达责任：在规定期限内向申请人送达行政许可证件；建立信息档案；公开有关信息。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5.事中事后责任：建立健全事中事后监管措施，加强监管。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《行政许可法》第三十、三十二、三十四、三十七、三十八、三十九、四十、四十二、四十四、六十一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4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对报废汽车回收企业实施监督检查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1.《报废机动车回收管理办法》（国务院令第715号）第6条 。</w:t>
            </w:r>
          </w:p>
          <w:p>
            <w:pPr>
              <w:widowControl/>
              <w:spacing w:line="240" w:lineRule="exact"/>
              <w:jc w:val="left"/>
              <w:textAlignment w:val="center"/>
            </w:pPr>
            <w:r>
              <w:rPr>
                <w:rFonts w:hint="eastAsia" w:ascii="宋体" w:hAnsi="宋体" w:cs="宋体"/>
                <w:color w:val="000000"/>
                <w:kern w:val="0"/>
                <w:sz w:val="18"/>
                <w:szCs w:val="18"/>
              </w:rPr>
              <w:t>2.《报废机动车回收管理办法实施细则》（商务部令2020年2号） 。</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1.检查责任：定期根据法律法规对相关工作开展检查。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2.处置责任：根据有关规定作出相应处置措施。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3.事后管理责任：对检查情况进行汇总、分类、归档备查，并跟踪监测。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《报废机动车回收管理办法》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对二手车交易市场经营者和经营主体的监督管理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《二手车流通管理办法》第三十五条、第三十六条。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1.检查责任：定期根据法律法规对相关工作开展检查。</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2.处置责任：根据有关规定作出相应处置措施。</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3.事后管理责任：对检查情况进行汇总、分类、归档备查，并跟踪监测。</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《二手车流通管理办法》 </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外派劳务项目审查市级备案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1.《对外劳务合作管理条例》第七条、第二十六条 ；</w:t>
            </w:r>
          </w:p>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2.《关于印发&lt;对外劳务合作项目审查有关问题的规定&gt;的通知》第二条。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《对外劳务合作管理条例》</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《单用途商业预付卡管理办法（试行）》(商务部令2012年第9号)第七条。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《单用途商业预付卡管理办法（试行）》</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95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对外劳务合作备用金使用管理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《对外劳务合作风险处置备用金管理办法（试行）》第三条、第二十二条。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《对外劳务合作风险处置备用金管理办法》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再生资源回收经营者备案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1.《再生资源回收管理办法》第七条 </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4.省工商局等十三部门关于贯彻落实全国统一“多证合一”改革意见的通知（黔工商注〔2018〕14号）附表第12项。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《再生资源回收管理办法》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纳入“多证合一”改革。</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从事洗染经营活动的备案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《洗染业管理办法》（商务部、国家工商总局、环保总局令2007年第5号）第五条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《洗染业管理办法》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企业不使用政府投资建设的除重大和限制类项目外的技术改造项目及工业、信息化固定资产投资项目备案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1.《国务院关于投资体制改革的决定》（国发〔2004〕20号）；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2.《企业投资项目核准和备案管理条例》（国务院令第673号）；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3.《企业投资项目核准和备案管理办法》（国家发改委令2017年第2号）；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4.《省人民政府关于印发贵州省企业投资项目核准和备案管理办法的通知》（黔府发〔2018〕7号）第三条；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5.《省人民政府办公厅转发省发展改革委加快推进全省固定资产投资和重大项目建设有关工作制度的通知》（黔府办发〔2010〕125号）。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1.受理责任：公示法定应当提交的材料；一次性告知补正材料；依法受理或不予受理（不予受理应当告知理由）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2.审查责任：对申请人提交的申请材料进行审查，提出审查意见</w:t>
            </w:r>
            <w:r>
              <w:rPr>
                <w:rFonts w:hint="eastAsia" w:ascii="宋体" w:hAnsi="宋体" w:cs="宋体"/>
                <w:kern w:val="0"/>
                <w:sz w:val="18"/>
                <w:szCs w:val="18"/>
              </w:rPr>
              <w:br w:type="textWrapping"/>
            </w:r>
            <w:r>
              <w:rPr>
                <w:rFonts w:hint="eastAsia" w:ascii="宋体" w:hAnsi="宋体" w:cs="宋体"/>
                <w:kern w:val="0"/>
                <w:sz w:val="18"/>
                <w:szCs w:val="18"/>
              </w:rPr>
              <w:t>3.决定责任：对符合条件的依法进行办理</w:t>
            </w:r>
            <w:r>
              <w:rPr>
                <w:rFonts w:hint="eastAsia" w:ascii="宋体" w:hAnsi="宋体" w:cs="宋体"/>
                <w:kern w:val="0"/>
                <w:sz w:val="18"/>
                <w:szCs w:val="18"/>
              </w:rPr>
              <w:br w:type="textWrapping"/>
            </w:r>
            <w:r>
              <w:rPr>
                <w:rFonts w:hint="eastAsia" w:ascii="宋体" w:hAnsi="宋体" w:cs="宋体"/>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1.《国务院关于投资体制改革的决定》；</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2.《企业投资项目核准和备案管理条例》第5、15、16、17条；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3.《企业投资项目核准和备案管理办法》第9、10、11、13、41、43条；</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4.《贵州省企业投资项目核准和备案管理办法》</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第9、10、11、13、41、43条。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《成品油零售经营批准证书》变更（不涉及投资主体发生变化）（初审）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1.《贵州省成品油市场管理实施细则》（黔商发〔2011〕95号）第二十条；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《成品油零售经营批准证书》遗失补办（初审）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1.《贵州省成品油市场管理实施细则》（黔商发〔2011〕95号）第二十条；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加油站延期建设（初审）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1.《成品油市场管理办法》（商务部令2006年第23号）；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成品油经营企业暂时歇业审核</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1.《成品油市场管理办法》（商务部令2006年第23号）；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93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加油站经营资格注消（初审）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1.《成品油市场管理办法》（商务部令2006年第23号）；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成品油和汽车燃气管理股、派驻政务服务中心窗口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二手车交易市场及二手车经营主体备案管理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1.《二手车流通管理办法》（商务部、公安部、国家工商行政管理总局、国家税务总局令2005年第2号公布，商务部令2017年第3号修正）；</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4.省工商局等十三部门关于贯彻落实全国统一“多证合一”改革意见的通知（黔工商注〔2018〕14号）附表第34项。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1.受理责任：公示法定应当提交的材料；一次性告知补正材料；依法受理或不予受理（不予受理应当告知理由）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2.审查责任：对申请人提交的申请材料进行审查，提出审查意见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3.决定责任：对符合条件的依法进行办理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《二手车流通管理办法》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商务流通管理股、派驻政务服务中心窗口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纳入“多证合一”改革。</w:t>
            </w: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对生产经营单位使用未取得特种作业操作证的特种作业人员上岗作业的处罚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2.煤矿企业使用未取得特种作业操作证的特种作业人员上岗作业的，依照《国务院关于预防煤矿生产安全事故的特别规定》的规定处罚。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对《生产经营单位安全培训规定》第三十条规定行为的处罚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（一）煤矿、非煤矿山、危险化学品、烟花爆竹、金属冶炼等生产经营单位主要负责人和安全管理人员未按照规定经考核合格的；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（二）未按照规定对从业人员、被派遣劳动者、实习学生进行安全生产教育和培训或者未如实告知其有关安全生产事项的；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（三）未如实记录安全生产教育和培训情况的；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（四）特种作业人员未按照规定经专门的安全技术培训并取得特种作业人员操作资格证书，上岗作业的。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煤矿安全监察机构发现煤矿特种作业人员无证上岗作业的，责令限期改正，处10万元以上50万元以下的罚款；逾期未改正的，责令停产停业整顿。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对煤矿未依法取得采矿许可证、安全生产许可证、营业执照和矿长未依法取得矿长资格证、矿长安全资格证进行非法生产的处罚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《国务院关于预防煤矿生产安全事故的特别规定》第五条  煤矿未依法取得采矿许可证、安全生产许可证、营业执照和矿长未依法取得矿长资格证、矿长安全资格证的，煤矿不得从事生产。擅自从事生产的，属非法煤矿。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对煤矿未按规定排查和报告安全隐患的处罚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《国务院关于预防煤矿生产安全事故的特别规定》第九条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对煤矿存在重大安全隐患仍进行生产的处罚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《国务院关于预防煤矿生产安全事故的特别规定》第十条  煤矿存在重大隐患，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2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对被责令停产整顿的煤矿擅自从事生产的处罚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《国务院关于预防煤矿生产安全事故的特别规定》第十一条  对被责令停产整顿的煤矿，颁发证照的部门应当暂扣采矿许可证、安全生产许可证、营业执照和矿长资格证、矿长安全资格证。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8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对煤矿现有条件难以防治重大安全隐患的处罚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《国务院关于预防煤矿生产安全事故的特别规定》第十五条  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89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对煤矿企业未依照国家有关规定对井下作业人员进行安全生产教育和培训或者特种作业人员无证上岗的处罚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县级以上地方人民政府负责煤矿安全生产监督管理的部门、煤矿安全监察机构未履行前款规定的监督检查职责的，对主要负责人，根据情节轻重，给予警告、记过或者记大过的行政处分。</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对煤矿负责人或者生产经营管理人员没有按照国家规定带班下井，或者下井登记档案虚假的处罚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《国务院关于预防煤矿生产安全事故的特别规定》第二十一条  煤矿企业负责人和生产经营管理人员应当按照国家规定轮流带班下井，并建立下井登记档案。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对《煤矿领导带班下井及安全监督检查规定》第十八条规定情形的处罚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《煤矿领导带班下井及安全监督检查规定》第十八条  煤矿有下列情形之一的，给予警告，并处3万元罚款；对煤矿主要负责人处1万元罚款：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（一）未建立健全煤矿领导带班下井制度的；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（二）未建立煤矿领导井下交接班制度的；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（三）未建立煤矿领导带班下井档案管理制度的；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（四）煤矿领导每月带班下井情况未按照规定公示的；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（五）未按规定填写煤矿领导下井交接班记录簿、带班下井记录或者保存带班下井相关记录档案的。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对煤矿领导未按规定带班下井，或者带班下井档案虚假的处罚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《煤矿领导带班下井及安全监督检查规定》第十九条  煤矿领导未按规定带班下井，或者带班下井档案虚假的，责令改正，并对该煤矿处15万元的罚款，对违反规定的煤矿领导按照擅离职守处理，对煤矿主要负责人处1万元的罚款。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对发生事故而没有煤矿领导带班下井的煤矿的处罚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《煤矿领导带班下井及安全监督检查规定》第二十一条  对发生事故而没有煤矿领导带班下井的煤矿，对其主要负责人依法暂扣或者吊销其安全资格证，并依照下列规定处以罚款：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（一）发生一般事故的，处上一年年收入30%的罚款；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（二）发生较大事故的，处上一年年收入40%的罚款；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（三）发生重大事故的，处上一年年收入60%的罚款；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（四）发生特别重大事故的，处上一年年收入80%的罚款。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对开采煤炭资源未达到国务院煤炭管理部门规定的煤炭资源回采率的处罚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《煤炭法》第五十七条　违反本法第二十二条的规定，开采煤炭资源未达到国务院煤炭管理部门规定的煤炭资源回采率的，由煤炭管理部门责令限期改正；逾期仍达不到规定的回采率的，责令停止生产。</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第二十二条  开采煤炭资源必须符合煤矿开采规程，遵守合理的开采顺序，达到规定的煤炭资源回采率。</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煤炭资源回采率由国务院煤炭管理部门根据不同的资源和开采条件确定。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国家鼓励煤矿企业进行复采或者开采边角残煤和极薄煤。</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对擅自开采保安煤柱或者采用危及相邻煤矿生产安全的危险方法进行采矿作业的处罚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《煤炭法》第五十八条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对未经批准或者未采取安全措施，在煤矿采区范围内进行危及煤矿安全作业的处罚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《煤炭法》第六十二条　违反本法第五十二条的规定，未经批准或者未采取安全措施，在煤矿采区范围内进行危及煤矿安全作业的，由煤炭管理部门责令停止作业，可以并处五万元以下的罚款；造成损失的，依法承担赔偿责任。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对生产经营单位未建立特种作业人员档案的处罚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《特种作业人员安全技术培训考核管理规定》第三十八条 生产经营单位未建立健全特种作业人员档案的，给予警告，并处1万元以下的罚款。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生产经营单位非法印制、伪造、倒卖特种作业操作证，或者使用非法印制、伪造、倒卖的特种作业操作证的处罚。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特种作业人员伪造、涂改特种作业操作证或者使用伪造的特种作业操作证，转借转让、冒用特种作业操作证的处罚。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《特种作业人员安全技术培训考核管理规定》第四十一条 特种作业人员伪造、涂改特种作业操作证或者使用伪造的特种作业操作证的，给予警告，并处1000元以上5000元以下的罚款。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特种作业人员转借、转让、冒用特种作业操作证的，给予警告，并处2000元以上1万元以下的罚款。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05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《安全生产事故隐患排查治理暂行规定》第二十七条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限制人身自由的行政处罚权只能由公安机关和法律规定的其他机关行使。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有前款</w:t>
            </w:r>
            <w:r>
              <w:rPr>
                <w:rFonts w:hint="eastAsia" w:ascii="宋体" w:hAnsi="宋体" w:cs="宋体"/>
                <w:color w:val="000000"/>
                <w:spacing w:val="-6"/>
                <w:kern w:val="0"/>
                <w:sz w:val="18"/>
                <w:szCs w:val="18"/>
                <w:lang w:val="en-US" w:eastAsia="zh-CN"/>
              </w:rPr>
              <w:t>违法行为，导致发生生产安全事故的，对生产经营单位的主要负责人给予撤职处分，对个人经营的投资人处二万元以上二十万元以下的罚款；构成犯罪的，依照刑法有关规定追究刑事责任。《安全生产违法行为行政处罚办法》（国家安监总局令第15号）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w:t>
            </w:r>
            <w:r>
              <w:rPr>
                <w:rFonts w:hint="eastAsia" w:ascii="宋体" w:hAnsi="宋体" w:cs="宋体"/>
                <w:color w:val="000000"/>
                <w:kern w:val="0"/>
                <w:sz w:val="18"/>
                <w:szCs w:val="18"/>
                <w:lang w:val="en-US" w:eastAsia="zh-CN"/>
              </w:rPr>
              <w:t>单位处1万元以上3万元以下罚款，对生产经营单位的主要负责人、个人经营的投资人处5000元以上1万元以下罚款;逾期未改正的，责令生产经营单位停产停业整顿：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(一)提取或者使用安全生产费用;</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(二)用于配备劳动防护用品的经费;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(三)用于安全生产教育和培训的经费;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w:t>
            </w:r>
            <w:r>
              <w:rPr>
                <w:rFonts w:hint="eastAsia" w:ascii="宋体" w:hAnsi="宋体" w:cs="宋体"/>
                <w:color w:val="000000"/>
                <w:spacing w:val="-6"/>
                <w:kern w:val="0"/>
                <w:sz w:val="18"/>
                <w:szCs w:val="18"/>
                <w:lang w:val="en-US" w:eastAsia="zh-CN"/>
              </w:rPr>
              <w:t xml:space="preserve">国家规定的其他安全生产所必须的资金投入。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生产经营单位主要负责人、个人经营的投资人有前款违法行为，导致发生生产安全事故的，依照《生产安全事故罚款处罚规定(试行)》的规定给予处罚。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51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对生产经营单位的主要负责人未履行本法规定的安全生产管理职责的处罚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生产经营单位的主要负责人有前款违法行为，导致发生生产安全事故的，给予撤职处分；构成犯罪的，依照刑法有关规定追究刑事责任。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对生产经营单位的其他负责人和安全生产管理人员未履行本法规定的安全生产管理职责的处罚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（一）未按照规定设置安全生产管理机构或者配备安全生产管理人员、注册安全工程师的；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（二）危险物品的生产、经营、储存、装卸单位以及矿山、金属冶炼、建筑施工、运输单位的主要负责人和安全生产管理人员未按照规定经考核合格的；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（三）未按照规定对从业人员、被派遣劳动者、实习学生进行安全生产教育和培训，或者未按照规定如实告知有关的安全生产事项的；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（五）未将事故隐患排查治理情况如实记录或者未向从业人员通报的；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（六）未按照规定制定生产安全事故应急救援预案或者未定期组织演练的；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（七）特种作业人员未按照规定经专门的安全作业培训并取得相应资格，上岗作业的。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对建设项目违法责任的处罚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（一）未按照规定对矿山、金属冶炼建设项目或者用于生产、储存、装卸危险物品的建设项目进行安全评价的；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（二）矿山、金属冶炼建设项目或者用于生产、储存、装卸危险物品的建设项目没有安全设施设计或者安全设施设计未按照规定报经有关部门审查同意的；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（三）矿山、金属冶炼建设项目或者用于生产、储存、装卸危险物品的建设项目的施工单位未按照批准的安全设施设计施工的；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（四）矿山、金属冶炼建设项目或者用于生产、储存、装卸危险物品的建设项目竣工投入生产或者使用前，安全设施未经验收合格的。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单位法定代表人、分管领导、</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（一）未在有较大危险因素的生产经营场所和有关设施、设备上设置明显的安全警示标志的；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（二）安全设备的安装、使用、检测、改造和报废不符合国家标准或者行业标准的；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（三）未对安全设备进行经常性维护、保养和定期检测的；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（四）关闭、破坏直接关系生产安全的监控、报警、防护、救生设备、设施，或者篡改、隐瞒、销毁其相关数据、信息的；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（五）未为从业人员提供符合国家标准或者行业标准的劳动防护用品的；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（七）使用应当淘汰的危及生产安全的工艺、设备的；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（八）餐饮等行业的生产经营单位使用燃气未安装可燃气体报警装置的。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（一）生产、经营、运输、储存、使用危险物品或者处置废弃危险物品，未建立专门安全管理制度、未采取可靠的安全措施的；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（二）对重大危险源未登记建档，未进行定期检测、评估、监控，未制定应急预案，或者未告知应急措施的；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（三）进行爆破、吊装、动火、临时用电以及国务院应急管理部门会同国务院有关部门规定的其他危险作业，未安排专门人员进行现场安全管理的；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（四）未建立安全风险分级管控制度或者未按照安全风险分级采取相应管控措施的；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（五）未建立事故隐患排查治理制度，或者重大事故隐患排查治理情况未按照规定报告的。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50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对生产经营单位未采取措施消除事故隐患的处罚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对生产经营单位发包、出租违法责任的处罚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对同一作业区域安全管理违法责任的处罚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对生产经营场所和员工宿舍违法责任的处罚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（一）生产、经营、储存、使用危险物品的车间、商店、仓库与员工宿舍在同一座建筑内，或者与员工宿舍的距离不符合安全要求的；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（二）生产经营场所和员工宿舍未设有符合紧急疏散需要、标志明显、保持畅通的出口、疏散通道，或者占用、锁闭、封堵生产经营场所或者员工宿舍出口、疏散通道的。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w:t>
            </w:r>
            <w:r>
              <w:rPr>
                <w:rFonts w:hint="eastAsia" w:ascii="宋体" w:hAnsi="宋体" w:cs="宋体"/>
                <w:color w:val="000000"/>
                <w:spacing w:val="-11"/>
                <w:kern w:val="0"/>
                <w:sz w:val="18"/>
                <w:szCs w:val="18"/>
                <w:lang w:val="en-US" w:eastAsia="zh-CN"/>
              </w:rPr>
              <w:t>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79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对免责协议违法责任的处罚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对生产经营单位不服从监管检查违法的处罚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高危行业、领域未按照国家规定投保安全生产责任保险的处罚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对生产经营单位被责令改正且受到罚款处罚，拒不改正的处罚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对生产经营单位不具备安全生产条件的处罚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（一）存在重大事故隐患，一百八十日内三次或者一年内四次受到本法规定的行政处罚的；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（二）经停产停业整顿，仍不具备法律、行政法规和国家标准或者行业标准规定的安全生产条件的；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（三）不具备法律、行政法规和国家标准或者行业标准规定的安全生产条件，导致发生重大、特别重大生产安全事故的；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（四）拒不执行负有安全生产监督管理职责的部门作出的停产停业整顿决定的。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煤矿安全综合行政执法大队、派驻政务服务中心窗口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cs="宋体"/>
                <w:color w:val="000000"/>
                <w:kern w:val="0"/>
                <w:sz w:val="18"/>
                <w:szCs w:val="18"/>
                <w:lang w:val="en-US" w:eastAsia="zh-CN"/>
              </w:rPr>
            </w:pPr>
          </w:p>
        </w:tc>
      </w:tr>
    </w:tbl>
    <w:p>
      <w:pPr>
        <w:rPr>
          <w:rFonts w:hint="eastAsia" w:eastAsia="宋体"/>
          <w:lang w:val="en-US" w:eastAsia="zh-CN"/>
        </w:rPr>
      </w:pPr>
    </w:p>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gutterAtTop/>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43DB"/>
    <w:rsid w:val="00172A27"/>
    <w:rsid w:val="002F7974"/>
    <w:rsid w:val="00363EAD"/>
    <w:rsid w:val="00400521"/>
    <w:rsid w:val="00580695"/>
    <w:rsid w:val="005A7D71"/>
    <w:rsid w:val="006A6E6B"/>
    <w:rsid w:val="0081010B"/>
    <w:rsid w:val="00A44698"/>
    <w:rsid w:val="00A740A2"/>
    <w:rsid w:val="00AC3E05"/>
    <w:rsid w:val="00AD4C93"/>
    <w:rsid w:val="00C40E4A"/>
    <w:rsid w:val="00C84A00"/>
    <w:rsid w:val="00D079C0"/>
    <w:rsid w:val="00D20CB1"/>
    <w:rsid w:val="00E2054B"/>
    <w:rsid w:val="00F00347"/>
    <w:rsid w:val="00FC3646"/>
    <w:rsid w:val="03FE3914"/>
    <w:rsid w:val="08FD7D71"/>
    <w:rsid w:val="09B8656B"/>
    <w:rsid w:val="09B91A06"/>
    <w:rsid w:val="0BEC5706"/>
    <w:rsid w:val="0BEF5A18"/>
    <w:rsid w:val="0E135109"/>
    <w:rsid w:val="0EA85741"/>
    <w:rsid w:val="0F374999"/>
    <w:rsid w:val="0FBC303E"/>
    <w:rsid w:val="0FF72B00"/>
    <w:rsid w:val="10184F9C"/>
    <w:rsid w:val="12CE6D8B"/>
    <w:rsid w:val="136074EC"/>
    <w:rsid w:val="16E2551A"/>
    <w:rsid w:val="172E6ED7"/>
    <w:rsid w:val="17405F09"/>
    <w:rsid w:val="1BBC2D42"/>
    <w:rsid w:val="1BC33EA8"/>
    <w:rsid w:val="1C0C55B1"/>
    <w:rsid w:val="1CAA3C63"/>
    <w:rsid w:val="1CDE3C80"/>
    <w:rsid w:val="1D6F6909"/>
    <w:rsid w:val="1DAE26E6"/>
    <w:rsid w:val="1FEB67C3"/>
    <w:rsid w:val="1FEE5217"/>
    <w:rsid w:val="202D7BFB"/>
    <w:rsid w:val="204A784B"/>
    <w:rsid w:val="20CA0448"/>
    <w:rsid w:val="20CF0E0C"/>
    <w:rsid w:val="20D87FC8"/>
    <w:rsid w:val="213D728B"/>
    <w:rsid w:val="21EB6BA7"/>
    <w:rsid w:val="2299028D"/>
    <w:rsid w:val="22A32BC7"/>
    <w:rsid w:val="236C20F2"/>
    <w:rsid w:val="25FD0026"/>
    <w:rsid w:val="261C4006"/>
    <w:rsid w:val="267E54DD"/>
    <w:rsid w:val="27CB10A4"/>
    <w:rsid w:val="27DF5C1F"/>
    <w:rsid w:val="282853A5"/>
    <w:rsid w:val="28E36CFA"/>
    <w:rsid w:val="29637DD5"/>
    <w:rsid w:val="29FE3904"/>
    <w:rsid w:val="2A052600"/>
    <w:rsid w:val="2B2B1337"/>
    <w:rsid w:val="2B2D2242"/>
    <w:rsid w:val="2C2930E2"/>
    <w:rsid w:val="2CD437BB"/>
    <w:rsid w:val="2CEB6B62"/>
    <w:rsid w:val="30F54E6F"/>
    <w:rsid w:val="31A64C60"/>
    <w:rsid w:val="365C5A5B"/>
    <w:rsid w:val="36D20290"/>
    <w:rsid w:val="36F53829"/>
    <w:rsid w:val="373319B9"/>
    <w:rsid w:val="37985450"/>
    <w:rsid w:val="3902625C"/>
    <w:rsid w:val="390C6503"/>
    <w:rsid w:val="39E544C7"/>
    <w:rsid w:val="3A4318A4"/>
    <w:rsid w:val="3A604589"/>
    <w:rsid w:val="3AF3205C"/>
    <w:rsid w:val="3B6827FF"/>
    <w:rsid w:val="3BD04EA8"/>
    <w:rsid w:val="3C991558"/>
    <w:rsid w:val="3E354656"/>
    <w:rsid w:val="3EAA22B0"/>
    <w:rsid w:val="3EF82261"/>
    <w:rsid w:val="3FA41149"/>
    <w:rsid w:val="3FDD47BE"/>
    <w:rsid w:val="40FC3197"/>
    <w:rsid w:val="421B14CD"/>
    <w:rsid w:val="42347B9A"/>
    <w:rsid w:val="43BE08C1"/>
    <w:rsid w:val="43F97CBE"/>
    <w:rsid w:val="44144523"/>
    <w:rsid w:val="44F4633E"/>
    <w:rsid w:val="45071036"/>
    <w:rsid w:val="467B45ED"/>
    <w:rsid w:val="49213892"/>
    <w:rsid w:val="4A851FE0"/>
    <w:rsid w:val="4C26045A"/>
    <w:rsid w:val="4C6E031C"/>
    <w:rsid w:val="4DD30A4B"/>
    <w:rsid w:val="4EB6257C"/>
    <w:rsid w:val="4F066D85"/>
    <w:rsid w:val="50E20D47"/>
    <w:rsid w:val="51A64A24"/>
    <w:rsid w:val="53816CEE"/>
    <w:rsid w:val="549C038F"/>
    <w:rsid w:val="55DB5A39"/>
    <w:rsid w:val="55DD7E63"/>
    <w:rsid w:val="55EE2EF1"/>
    <w:rsid w:val="56230FC5"/>
    <w:rsid w:val="57D7349F"/>
    <w:rsid w:val="580B36EF"/>
    <w:rsid w:val="589D55F7"/>
    <w:rsid w:val="58A24C12"/>
    <w:rsid w:val="59766B44"/>
    <w:rsid w:val="5A254335"/>
    <w:rsid w:val="5A99635B"/>
    <w:rsid w:val="5D133214"/>
    <w:rsid w:val="5DD3580E"/>
    <w:rsid w:val="5E8B6BDD"/>
    <w:rsid w:val="5EB56722"/>
    <w:rsid w:val="601B6E37"/>
    <w:rsid w:val="603D055B"/>
    <w:rsid w:val="631D32C5"/>
    <w:rsid w:val="63251090"/>
    <w:rsid w:val="6328695D"/>
    <w:rsid w:val="63E325C9"/>
    <w:rsid w:val="64DD46FE"/>
    <w:rsid w:val="66DC3886"/>
    <w:rsid w:val="68984A3A"/>
    <w:rsid w:val="69FF20E5"/>
    <w:rsid w:val="6A1C2DF1"/>
    <w:rsid w:val="6A7A3FF4"/>
    <w:rsid w:val="6A89388B"/>
    <w:rsid w:val="6ADF49B6"/>
    <w:rsid w:val="6B534B69"/>
    <w:rsid w:val="6C210C01"/>
    <w:rsid w:val="6C2D041C"/>
    <w:rsid w:val="6CDA24CA"/>
    <w:rsid w:val="6F2059DD"/>
    <w:rsid w:val="6FF524EF"/>
    <w:rsid w:val="708128FA"/>
    <w:rsid w:val="71DE04EC"/>
    <w:rsid w:val="72005B6A"/>
    <w:rsid w:val="74082FAD"/>
    <w:rsid w:val="74D643EF"/>
    <w:rsid w:val="756C13DA"/>
    <w:rsid w:val="75B62D12"/>
    <w:rsid w:val="76417FB3"/>
    <w:rsid w:val="765B1C12"/>
    <w:rsid w:val="77C57DFB"/>
    <w:rsid w:val="793F06BE"/>
    <w:rsid w:val="79D93FCE"/>
    <w:rsid w:val="7B33223F"/>
    <w:rsid w:val="7B701341"/>
    <w:rsid w:val="7F75710C"/>
    <w:rsid w:val="7F8F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8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Times New Roman" w:hAnsi="Times New Roman" w:cs="Times New Roman"/>
      <w:color w:val="FF0000"/>
      <w:sz w:val="20"/>
      <w:szCs w:val="20"/>
      <w:u w:val="none"/>
    </w:rPr>
  </w:style>
  <w:style w:type="character" w:customStyle="1" w:styleId="13">
    <w:name w:val="font13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1129</Words>
  <Characters>6438</Characters>
  <Lines>53</Lines>
  <Paragraphs>15</Paragraphs>
  <TotalTime>0</TotalTime>
  <ScaleCrop>false</ScaleCrop>
  <LinksUpToDate>false</LinksUpToDate>
  <CharactersWithSpaces>7552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Administrator</cp:lastModifiedBy>
  <cp:lastPrinted>2023-07-07T03:46:00Z</cp:lastPrinted>
  <dcterms:modified xsi:type="dcterms:W3CDTF">2025-07-07T05:49:51Z</dcterms:modified>
  <dc:title> 4、县工业和信息化局权力清单和责任清单目录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