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0E4A" w:rsidRDefault="00C40E4A">
      <w:pPr>
        <w:widowControl/>
        <w:spacing w:line="600" w:lineRule="exact"/>
        <w:jc w:val="left"/>
        <w:textAlignment w:val="center"/>
        <w:rPr>
          <w:rFonts w:asciiTheme="minorEastAsia" w:eastAsiaTheme="minorEastAsia" w:hAnsiTheme="minorEastAsia" w:cstheme="minorEastAsia"/>
          <w:bCs/>
          <w:color w:val="000000"/>
          <w:kern w:val="0"/>
          <w:sz w:val="24"/>
        </w:rPr>
      </w:pPr>
    </w:p>
    <w:p w:rsidR="00C40E4A" w:rsidRDefault="00D20CB1">
      <w:pPr>
        <w:widowControl/>
        <w:spacing w:line="600" w:lineRule="exact"/>
        <w:jc w:val="center"/>
        <w:textAlignment w:val="center"/>
        <w:rPr>
          <w:rFonts w:ascii="方正小标宋简体" w:eastAsia="方正小标宋简体" w:hAnsi="方正小标宋简体" w:cs="方正小标宋简体"/>
          <w:b/>
          <w:color w:val="000000"/>
          <w:kern w:val="0"/>
          <w:sz w:val="44"/>
          <w:szCs w:val="44"/>
        </w:rPr>
      </w:pPr>
      <w:r>
        <w:rPr>
          <w:rFonts w:ascii="方正小标宋简体" w:eastAsia="方正小标宋简体" w:hAnsi="方正小标宋简体" w:cs="方正小标宋简体" w:hint="eastAsia"/>
          <w:b/>
          <w:color w:val="000000"/>
          <w:kern w:val="0"/>
          <w:sz w:val="44"/>
          <w:szCs w:val="44"/>
        </w:rPr>
        <w:t xml:space="preserve">    </w:t>
      </w:r>
      <w:r>
        <w:rPr>
          <w:rFonts w:ascii="方正小标宋_GBK" w:eastAsia="方正小标宋_GBK" w:hAnsi="方正小标宋_GBK" w:cs="方正小标宋_GBK" w:hint="eastAsia"/>
          <w:bCs/>
          <w:color w:val="000000"/>
          <w:kern w:val="0"/>
          <w:sz w:val="44"/>
          <w:szCs w:val="44"/>
        </w:rPr>
        <w:t>绥阳县经济贸易局(绥阳县商务局)权力清单和责任清单目录</w:t>
      </w:r>
      <w:r w:rsidR="00AC3E05">
        <w:rPr>
          <w:rFonts w:ascii="方正小标宋_GBK" w:eastAsia="方正小标宋_GBK" w:hAnsi="方正小标宋_GBK" w:cs="方正小标宋_GBK" w:hint="eastAsia"/>
          <w:bCs/>
          <w:color w:val="000000"/>
          <w:kern w:val="0"/>
          <w:sz w:val="44"/>
          <w:szCs w:val="44"/>
        </w:rPr>
        <w:t>(20项)</w:t>
      </w:r>
    </w:p>
    <w:tbl>
      <w:tblPr>
        <w:tblW w:w="0" w:type="auto"/>
        <w:tblLayout w:type="fixed"/>
        <w:tblCellMar>
          <w:top w:w="15" w:type="dxa"/>
          <w:left w:w="15" w:type="dxa"/>
          <w:bottom w:w="15" w:type="dxa"/>
          <w:right w:w="15" w:type="dxa"/>
        </w:tblCellMar>
        <w:tblLook w:val="04A0"/>
      </w:tblPr>
      <w:tblGrid>
        <w:gridCol w:w="411"/>
        <w:gridCol w:w="480"/>
        <w:gridCol w:w="1350"/>
        <w:gridCol w:w="3780"/>
        <w:gridCol w:w="4890"/>
        <w:gridCol w:w="1845"/>
        <w:gridCol w:w="853"/>
        <w:gridCol w:w="1060"/>
        <w:gridCol w:w="771"/>
      </w:tblGrid>
      <w:tr w:rsidR="00C40E4A">
        <w:trPr>
          <w:trHeight w:val="1020"/>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序号</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黑体" w:eastAsia="黑体" w:hAnsi="黑体" w:cs="宋体"/>
                <w:szCs w:val="21"/>
              </w:rPr>
            </w:pPr>
            <w:r>
              <w:rPr>
                <w:rFonts w:ascii="黑体" w:eastAsia="黑体" w:hAnsi="黑体" w:cs="宋体" w:hint="eastAsia"/>
                <w:szCs w:val="21"/>
              </w:rPr>
              <w:t>权力</w:t>
            </w:r>
          </w:p>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类型</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权力名称</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权力依据</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责任事项</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黑体" w:eastAsia="黑体" w:hAnsi="黑体" w:cs="宋体"/>
                <w:szCs w:val="21"/>
              </w:rPr>
            </w:pPr>
            <w:r>
              <w:rPr>
                <w:rFonts w:ascii="黑体" w:eastAsia="黑体" w:hAnsi="黑体" w:cs="宋体" w:hint="eastAsia"/>
                <w:szCs w:val="21"/>
              </w:rPr>
              <w:t>责任事项</w:t>
            </w:r>
          </w:p>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依据</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黑体" w:eastAsia="黑体" w:hAnsi="黑体" w:cs="宋体"/>
                <w:szCs w:val="21"/>
              </w:rPr>
            </w:pPr>
            <w:r>
              <w:rPr>
                <w:rFonts w:ascii="黑体" w:eastAsia="黑体" w:hAnsi="黑体" w:cs="宋体" w:hint="eastAsia"/>
                <w:szCs w:val="21"/>
              </w:rPr>
              <w:t>承办</w:t>
            </w:r>
          </w:p>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机构</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追责对象范围</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center"/>
              <w:rPr>
                <w:rFonts w:ascii="宋体" w:hAnsi="宋体" w:cs="宋体"/>
                <w:b/>
                <w:color w:val="000000"/>
                <w:kern w:val="0"/>
                <w:sz w:val="20"/>
                <w:szCs w:val="20"/>
              </w:rPr>
            </w:pPr>
            <w:r>
              <w:rPr>
                <w:rFonts w:ascii="黑体" w:eastAsia="黑体" w:hAnsi="黑体" w:cs="宋体" w:hint="eastAsia"/>
                <w:szCs w:val="21"/>
              </w:rPr>
              <w:t>备注</w:t>
            </w: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行政许可</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sz w:val="18"/>
                <w:szCs w:val="18"/>
              </w:rPr>
            </w:pPr>
            <w:r>
              <w:rPr>
                <w:rFonts w:ascii="宋体" w:hAnsi="宋体" w:cs="宋体" w:hint="eastAsia"/>
                <w:kern w:val="0"/>
                <w:sz w:val="18"/>
                <w:szCs w:val="18"/>
              </w:rPr>
              <w:t>工业固定资产投资项目节能评估和审查</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1.《中华人民共和国节约能源法》第十五条；</w:t>
            </w:r>
          </w:p>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2.《固定资产投资项目节能审查办法》第五条；</w:t>
            </w:r>
          </w:p>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3.《贵州省节约能源条例》第十六条；                      4.《贵州省固定资产投资项目节能审查实施办法》第六条；</w:t>
            </w:r>
          </w:p>
          <w:p w:rsidR="00C40E4A" w:rsidRDefault="00D20CB1">
            <w:pPr>
              <w:widowControl/>
              <w:spacing w:line="240" w:lineRule="exact"/>
              <w:jc w:val="left"/>
              <w:textAlignment w:val="center"/>
            </w:pPr>
            <w:r>
              <w:rPr>
                <w:rFonts w:ascii="宋体" w:hAnsi="宋体" w:cs="宋体" w:hint="eastAsia"/>
                <w:kern w:val="0"/>
                <w:sz w:val="18"/>
                <w:szCs w:val="18"/>
              </w:rPr>
              <w:t>5.《贵州省人民政府关于调整行政许可等事项的决定》（省政府令2019第193号）附件5。</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sz w:val="18"/>
                <w:szCs w:val="18"/>
              </w:rPr>
            </w:pPr>
            <w:r>
              <w:rPr>
                <w:rFonts w:ascii="宋体" w:hAnsi="宋体" w:cs="宋体" w:hint="eastAsia"/>
                <w:kern w:val="0"/>
                <w:sz w:val="18"/>
                <w:szCs w:val="18"/>
              </w:rPr>
              <w:t>1.受理责任：公示法定应当提交的材料；一次性告知补正材料；依法受理或不予受理申请（不予受理的说明理由）。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3.决定责任：在规定期限内作出许可或不予许可的书面决定；不予许可应告知理由，并告知相对人申请复议或提起行政诉讼的权利。</w:t>
            </w:r>
            <w:r>
              <w:rPr>
                <w:rFonts w:ascii="宋体" w:hAnsi="宋体" w:cs="宋体" w:hint="eastAsia"/>
                <w:kern w:val="0"/>
                <w:sz w:val="18"/>
                <w:szCs w:val="18"/>
              </w:rPr>
              <w:br/>
              <w:t>4.送达责任：在规定期限内向申请人送达行政许可证件；建立信息档案；公开有关信息。</w:t>
            </w:r>
            <w:r>
              <w:rPr>
                <w:rFonts w:ascii="宋体" w:hAnsi="宋体" w:cs="宋体" w:hint="eastAsia"/>
                <w:kern w:val="0"/>
                <w:sz w:val="18"/>
                <w:szCs w:val="18"/>
              </w:rPr>
              <w:br/>
              <w:t>5.事中事后责任：建立健全事中事后监管措施，加强监管。</w:t>
            </w:r>
            <w:r>
              <w:rPr>
                <w:rFonts w:ascii="宋体" w:hAnsi="宋体" w:cs="宋体" w:hint="eastAsia"/>
                <w:kern w:val="0"/>
                <w:sz w:val="18"/>
                <w:szCs w:val="18"/>
              </w:rPr>
              <w:br/>
              <w:t>6.法律法规规章文件规定应履行的其他责任。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FF0000"/>
                <w:sz w:val="18"/>
                <w:szCs w:val="18"/>
              </w:rPr>
            </w:pPr>
            <w:r>
              <w:rPr>
                <w:rFonts w:ascii="宋体" w:hAnsi="宋体" w:cs="宋体" w:hint="eastAsia"/>
                <w:color w:val="000000"/>
                <w:kern w:val="0"/>
                <w:sz w:val="18"/>
                <w:szCs w:val="18"/>
              </w:rPr>
              <w:t>《行政许可法》第三十、三十二、三十四、三十七、三十八、三十九、四十、四十二、四十四、六十一</w:t>
            </w:r>
            <w:r>
              <w:rPr>
                <w:rFonts w:ascii="宋体" w:hAnsi="宋体" w:cs="宋体" w:hint="eastAsia"/>
                <w:color w:val="000000"/>
                <w:kern w:val="0"/>
                <w:sz w:val="18"/>
                <w:szCs w:val="18"/>
              </w:rPr>
              <w:br/>
              <w:t>条</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left"/>
              <w:rPr>
                <w:rFonts w:ascii="宋体" w:hAnsi="宋体" w:cs="宋体"/>
                <w:color w:val="000000"/>
                <w:sz w:val="18"/>
                <w:szCs w:val="18"/>
              </w:rPr>
            </w:pPr>
            <w:r>
              <w:rPr>
                <w:rFonts w:ascii="宋体" w:hAnsi="宋体" w:cs="宋体" w:hint="eastAsia"/>
                <w:kern w:val="0"/>
                <w:sz w:val="18"/>
                <w:szCs w:val="18"/>
              </w:rPr>
              <w:t>工业管理股、派驻政务服务中心窗口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FF000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行政许可</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限制进出口技术许可</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1.《中华人民共和国对外贸易法》第十六条；</w:t>
            </w:r>
            <w:r>
              <w:rPr>
                <w:rFonts w:ascii="宋体" w:hAnsi="宋体" w:cs="宋体" w:hint="eastAsia"/>
                <w:color w:val="000000"/>
                <w:kern w:val="0"/>
                <w:sz w:val="18"/>
                <w:szCs w:val="18"/>
              </w:rPr>
              <w:br/>
              <w:t>2.《中华人民共和国技术进出口管理条例》第二章。</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1.受理责任：公示法定应当提交的材料；一次性告知补正材料；依法受理或不予受理申请（不予受理的说明理由）。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3.决定责任：在规定期限内作出许可或不予许可的书面决定；不予许可应告知理由，并告知相对人申请复议或提起行政诉讼的权利。</w:t>
            </w:r>
            <w:r>
              <w:rPr>
                <w:rFonts w:ascii="宋体" w:hAnsi="宋体" w:cs="宋体" w:hint="eastAsia"/>
                <w:color w:val="000000"/>
                <w:kern w:val="0"/>
                <w:sz w:val="18"/>
                <w:szCs w:val="18"/>
              </w:rPr>
              <w:br/>
              <w:t>4.送达责任：在规定期限内向申请人送达行政许可证件；建立信息档案；公开有关信息。</w:t>
            </w:r>
            <w:r>
              <w:rPr>
                <w:rFonts w:ascii="宋体" w:hAnsi="宋体" w:cs="宋体" w:hint="eastAsia"/>
                <w:color w:val="000000"/>
                <w:kern w:val="0"/>
                <w:sz w:val="18"/>
                <w:szCs w:val="18"/>
              </w:rPr>
              <w:br/>
              <w:t>5.事中事后责任：建立健全事中事后监管措施，加强监管。</w:t>
            </w:r>
            <w:r>
              <w:rPr>
                <w:rFonts w:ascii="宋体" w:hAnsi="宋体" w:cs="宋体" w:hint="eastAsia"/>
                <w:color w:val="000000"/>
                <w:kern w:val="0"/>
                <w:sz w:val="18"/>
                <w:szCs w:val="18"/>
              </w:rPr>
              <w:br/>
              <w:t>6.法律法规规章文件规定应履行的其他责任。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《行政许可法》第三十、三十二、三十四、三十七、三十八、三十九、四十、四十二、四十四、六十一</w:t>
            </w:r>
            <w:r>
              <w:rPr>
                <w:rFonts w:ascii="宋体" w:hAnsi="宋体" w:cs="宋体" w:hint="eastAsia"/>
                <w:color w:val="000000"/>
                <w:kern w:val="0"/>
                <w:sz w:val="18"/>
                <w:szCs w:val="18"/>
              </w:rPr>
              <w:br/>
              <w:t>条</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行政许可</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汽车加气站经营许可</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1.《城镇燃气管理条例》（国务院令583号）第十五条；</w:t>
            </w:r>
            <w:r>
              <w:rPr>
                <w:rFonts w:ascii="宋体" w:hAnsi="宋体" w:cs="宋体" w:hint="eastAsia"/>
                <w:kern w:val="0"/>
                <w:sz w:val="18"/>
                <w:szCs w:val="18"/>
              </w:rPr>
              <w:br/>
              <w:t>2.《贵州省燃气管理条例》（2001年1月5日贵州省第九届人大常务委员会第二十次会议通过）第十七条；</w:t>
            </w:r>
            <w:r>
              <w:rPr>
                <w:rFonts w:ascii="宋体" w:hAnsi="宋体" w:cs="宋体" w:hint="eastAsia"/>
                <w:kern w:val="0"/>
                <w:sz w:val="18"/>
                <w:szCs w:val="18"/>
              </w:rPr>
              <w:br/>
              <w:t>3.《关于做好我省汽车加气站经营许可管理工作的通知（黔商发〔2013〕160号）；</w:t>
            </w:r>
          </w:p>
          <w:p w:rsidR="00C40E4A" w:rsidRDefault="00D20CB1">
            <w:pPr>
              <w:widowControl/>
              <w:spacing w:line="240" w:lineRule="exact"/>
              <w:jc w:val="left"/>
              <w:textAlignment w:val="center"/>
            </w:pPr>
            <w:r>
              <w:rPr>
                <w:rFonts w:ascii="宋体" w:hAnsi="宋体" w:cs="宋体" w:hint="eastAsia"/>
                <w:kern w:val="0"/>
                <w:sz w:val="18"/>
                <w:szCs w:val="18"/>
              </w:rPr>
              <w:t>4.《遵义市人民政府公告》（[2018]第2号）附件4第5项。</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1.受理责任：公示法定应当提交的材料；一次性告知补正材料；依法受理或不予受理申请（不予受理的说明理由）。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3.决定责任：在规定期限内作出许可或不予许可的书面决定；不予许可应告知理由，并告知相对人申请复议或提起行政诉讼的权利。</w:t>
            </w:r>
            <w:r>
              <w:rPr>
                <w:rFonts w:ascii="宋体" w:hAnsi="宋体" w:cs="宋体" w:hint="eastAsia"/>
                <w:kern w:val="0"/>
                <w:sz w:val="18"/>
                <w:szCs w:val="18"/>
              </w:rPr>
              <w:br/>
              <w:t>4.送达责任：在规定期限内向申请人送达行政许可证件；建立信息档案；公开有关信息。</w:t>
            </w:r>
            <w:r>
              <w:rPr>
                <w:rFonts w:ascii="宋体" w:hAnsi="宋体" w:cs="宋体" w:hint="eastAsia"/>
                <w:kern w:val="0"/>
                <w:sz w:val="18"/>
                <w:szCs w:val="18"/>
              </w:rPr>
              <w:br/>
              <w:t>5.事中事后责任：建立健全事中事后监管措施，加强监管。</w:t>
            </w:r>
            <w:r>
              <w:rPr>
                <w:rFonts w:ascii="宋体" w:hAnsi="宋体" w:cs="宋体" w:hint="eastAsia"/>
                <w:kern w:val="0"/>
                <w:sz w:val="18"/>
                <w:szCs w:val="18"/>
              </w:rPr>
              <w:br/>
            </w:r>
            <w:r>
              <w:rPr>
                <w:rFonts w:ascii="宋体" w:hAnsi="宋体" w:cs="宋体" w:hint="eastAsia"/>
                <w:kern w:val="0"/>
                <w:sz w:val="18"/>
                <w:szCs w:val="18"/>
              </w:rPr>
              <w:lastRenderedPageBreak/>
              <w:t>6.法律法规规章文件规定应履行的其他责任。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《行政许可法》第三十、三十二、三十四、三十七、三十八、三十九、四十、四十二、四十四、六十一</w:t>
            </w:r>
            <w:r>
              <w:rPr>
                <w:rFonts w:ascii="宋体" w:hAnsi="宋体" w:cs="宋体" w:hint="eastAsia"/>
                <w:color w:val="000000"/>
                <w:kern w:val="0"/>
                <w:sz w:val="18"/>
                <w:szCs w:val="18"/>
              </w:rPr>
              <w:br/>
              <w:t>条</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left"/>
              <w:rPr>
                <w:rFonts w:ascii="宋体" w:hAnsi="宋体" w:cs="宋体"/>
                <w:color w:val="000000"/>
                <w:sz w:val="18"/>
                <w:szCs w:val="18"/>
              </w:rPr>
            </w:pPr>
            <w:r>
              <w:rPr>
                <w:rFonts w:ascii="宋体" w:hAnsi="宋体" w:cs="宋体" w:hint="eastAsia"/>
                <w:color w:val="000000"/>
                <w:kern w:val="0"/>
                <w:sz w:val="18"/>
                <w:szCs w:val="18"/>
              </w:rPr>
              <w:t>成品油和汽车燃气管理股、派驻政务服务中心窗口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300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4</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行政许可</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对外劳务合作经营资格核准</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1.《对外劳务合作条例》第五条；</w:t>
            </w:r>
            <w:r>
              <w:rPr>
                <w:rFonts w:ascii="宋体" w:hAnsi="宋体" w:cs="宋体" w:hint="eastAsia"/>
                <w:kern w:val="0"/>
                <w:sz w:val="18"/>
                <w:szCs w:val="18"/>
              </w:rPr>
              <w:br/>
              <w:t>2.《国务院对确需保留的行政审批项目设定行政许可的决定》（国务院令第412号）；</w:t>
            </w:r>
            <w:r>
              <w:rPr>
                <w:rFonts w:ascii="宋体" w:hAnsi="宋体" w:cs="宋体" w:hint="eastAsia"/>
                <w:kern w:val="0"/>
                <w:sz w:val="18"/>
                <w:szCs w:val="18"/>
              </w:rPr>
              <w:br/>
              <w:t>3.《国务院关于第五批取消和下放管理层级行政审批项目的决定》（国发〔2010〕21号）；</w:t>
            </w:r>
            <w:r>
              <w:rPr>
                <w:rFonts w:ascii="宋体" w:hAnsi="宋体" w:cs="宋体" w:hint="eastAsia"/>
                <w:kern w:val="0"/>
                <w:sz w:val="18"/>
                <w:szCs w:val="18"/>
              </w:rPr>
              <w:br/>
              <w:t>4.《国务院关于第五批取消和下放管理层级行政审批项目的决定》（国发〔2010〕21号）附件2第1项；</w:t>
            </w:r>
          </w:p>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5.《贵州省人民政府关于2013年度取消和调整行政认可项目的决定》（省政府令第146号）附件2第15项；</w:t>
            </w:r>
          </w:p>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6.《贵州省商务厅关于进一步提高行政效能的实施意见》（黔商发〔2013〕184号）；7.《遵义市人民政府公告》（[2018]第2号）附件4第4项。</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1.受理责任：公示法定应当提交的材料；一次性告知补正材料；依法受理或不予受理申请（不予受理的说明理由）。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3.决定责任：在规定期限内作出许可或不予许可的书面决定；不予许可应告知理由，并告知相对人申请复议或提起行政诉讼的权利。</w:t>
            </w:r>
            <w:r>
              <w:rPr>
                <w:rFonts w:ascii="宋体" w:hAnsi="宋体" w:cs="宋体" w:hint="eastAsia"/>
                <w:kern w:val="0"/>
                <w:sz w:val="18"/>
                <w:szCs w:val="18"/>
              </w:rPr>
              <w:br/>
              <w:t>4.送达责任：在规定期限内向申请人送达行政许可证件；建立信息档案；公开有关信息。</w:t>
            </w:r>
            <w:r>
              <w:rPr>
                <w:rFonts w:ascii="宋体" w:hAnsi="宋体" w:cs="宋体" w:hint="eastAsia"/>
                <w:kern w:val="0"/>
                <w:sz w:val="18"/>
                <w:szCs w:val="18"/>
              </w:rPr>
              <w:br/>
              <w:t>5.事中事后责任：建立健全事中事后监管措施，加强监管。</w:t>
            </w:r>
            <w:r>
              <w:rPr>
                <w:rFonts w:ascii="宋体" w:hAnsi="宋体" w:cs="宋体" w:hint="eastAsia"/>
                <w:kern w:val="0"/>
                <w:sz w:val="18"/>
                <w:szCs w:val="18"/>
              </w:rPr>
              <w:br/>
              <w:t>6.法律法规规章文件规定应履行的其他责任。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《行政许可法》第三十、三十二、三十四、三十七、三十八、三十九、四十、四十二、四十四、六十一</w:t>
            </w:r>
            <w:r>
              <w:rPr>
                <w:rFonts w:ascii="宋体" w:hAnsi="宋体" w:cs="宋体" w:hint="eastAsia"/>
                <w:color w:val="000000"/>
                <w:kern w:val="0"/>
                <w:sz w:val="18"/>
                <w:szCs w:val="18"/>
              </w:rPr>
              <w:br/>
              <w:t>条</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left"/>
              <w:rPr>
                <w:rFonts w:ascii="宋体" w:hAnsi="宋体" w:cs="宋体"/>
                <w:color w:val="00000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行政许可</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设立拍卖企业及分公司的审核许可</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 xml:space="preserve">1.《中华人民共和国拍卖法》第十一条； </w:t>
            </w:r>
          </w:p>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 xml:space="preserve">2.《拍卖管理办法》第十三条； </w:t>
            </w:r>
          </w:p>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3.《贵州省人民政府关于2013年度取消和调整行政认可项目的决定》（省政府令第146号）附件2第12项；</w:t>
            </w:r>
          </w:p>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4.《遵义市人民政府公告》（[2018]第2号）附件4第3项。</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1.受理责任：公示法定应当提交的材料；一次性告知补正材料；依法受理或不予受理申请（不予受理的说明理由）。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3.决定责任：在规定期限内作出许可或不予许可的书面决定；不予许可应告知理由，并告知相对人申请复议或提起行政诉讼的权利。</w:t>
            </w:r>
            <w:r>
              <w:rPr>
                <w:rFonts w:ascii="宋体" w:hAnsi="宋体" w:cs="宋体" w:hint="eastAsia"/>
                <w:kern w:val="0"/>
                <w:sz w:val="18"/>
                <w:szCs w:val="18"/>
              </w:rPr>
              <w:br/>
              <w:t>4.送达责任：在规定期限内向申请人送达行政许可证件；建立信息档案；公开有关信息。</w:t>
            </w:r>
            <w:r>
              <w:rPr>
                <w:rFonts w:ascii="宋体" w:hAnsi="宋体" w:cs="宋体" w:hint="eastAsia"/>
                <w:kern w:val="0"/>
                <w:sz w:val="18"/>
                <w:szCs w:val="18"/>
              </w:rPr>
              <w:br/>
              <w:t>5.事中事后责任：建立健全事中事后监管措施，加强监管。</w:t>
            </w:r>
            <w:r>
              <w:rPr>
                <w:rFonts w:ascii="宋体" w:hAnsi="宋体" w:cs="宋体" w:hint="eastAsia"/>
                <w:kern w:val="0"/>
                <w:sz w:val="18"/>
                <w:szCs w:val="18"/>
              </w:rPr>
              <w:br/>
              <w:t>6.法律法规规章文件规定应履行的其他责任。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《行政许可法》第三十、三十二、三十四、三十七、三十八、三十九、四十、四十二、四十四、六十一</w:t>
            </w:r>
            <w:r>
              <w:rPr>
                <w:rFonts w:ascii="宋体" w:hAnsi="宋体" w:cs="宋体" w:hint="eastAsia"/>
                <w:color w:val="000000"/>
                <w:kern w:val="0"/>
                <w:sz w:val="18"/>
                <w:szCs w:val="18"/>
              </w:rPr>
              <w:br/>
              <w:t>条</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spacing w:line="240" w:lineRule="exact"/>
              <w:jc w:val="left"/>
              <w:rPr>
                <w:rFonts w:ascii="宋体" w:hAnsi="宋体" w:cs="宋体"/>
                <w:color w:val="00000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6</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行政许可</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成品油零售经营许可（初审）</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1.《成品油市场管理办法》（商务部令2006年 第23号）第六条；</w:t>
            </w:r>
            <w:r>
              <w:rPr>
                <w:rFonts w:ascii="宋体" w:hAnsi="宋体" w:cs="宋体" w:hint="eastAsia"/>
                <w:color w:val="000000"/>
                <w:kern w:val="0"/>
                <w:sz w:val="18"/>
                <w:szCs w:val="18"/>
              </w:rPr>
              <w:br/>
              <w:t>2.《贵州省成品油市场管理实施细则》（黔商发〔2011〕95号）第十三条。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1.受理责任：公示法定应当提交的材料；一次性告知补正材料；依法受理或不予受理申请（不予受理的说明理由）。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3.决定责任：在规定期限内作出许可或不予许可的书面决定；不予许可应告知理由，并告知相对人申请复议或提起行政诉讼的权利。</w:t>
            </w:r>
            <w:r>
              <w:rPr>
                <w:rFonts w:ascii="宋体" w:hAnsi="宋体" w:cs="宋体" w:hint="eastAsia"/>
                <w:color w:val="000000"/>
                <w:kern w:val="0"/>
                <w:sz w:val="18"/>
                <w:szCs w:val="18"/>
              </w:rPr>
              <w:br/>
              <w:t>4.送达责任：在规定期限内向申请人送达行政许可证件；建立信息档案；公开有关信息。</w:t>
            </w:r>
            <w:r>
              <w:rPr>
                <w:rFonts w:ascii="宋体" w:hAnsi="宋体" w:cs="宋体" w:hint="eastAsia"/>
                <w:color w:val="000000"/>
                <w:kern w:val="0"/>
                <w:sz w:val="18"/>
                <w:szCs w:val="18"/>
              </w:rPr>
              <w:br/>
              <w:t>5.事中事后责任：建立健全事中事后监管措施，加强监管。</w:t>
            </w:r>
            <w:r>
              <w:rPr>
                <w:rFonts w:ascii="宋体" w:hAnsi="宋体" w:cs="宋体" w:hint="eastAsia"/>
                <w:color w:val="000000"/>
                <w:kern w:val="0"/>
                <w:sz w:val="18"/>
                <w:szCs w:val="18"/>
              </w:rPr>
              <w:br/>
              <w:t>6.法律法规规章文件规定应履行的其他责任。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《行政许可法》第三十、三十二、三十四、三十七、三十八、三十九、四十、四十二、四十四、六十一</w:t>
            </w:r>
            <w:r>
              <w:rPr>
                <w:rFonts w:ascii="宋体" w:hAnsi="宋体" w:cs="宋体" w:hint="eastAsia"/>
                <w:color w:val="000000"/>
                <w:kern w:val="0"/>
                <w:sz w:val="18"/>
                <w:szCs w:val="18"/>
              </w:rPr>
              <w:br/>
              <w:t>条</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成品油和汽车燃气管理股、派驻政务服务中心窗口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1400"/>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E2054B" w:rsidP="00E2054B">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对</w:t>
            </w:r>
            <w:r w:rsidR="00D20CB1">
              <w:rPr>
                <w:rFonts w:ascii="宋体" w:hAnsi="宋体" w:cs="宋体" w:hint="eastAsia"/>
                <w:color w:val="000000"/>
                <w:kern w:val="0"/>
                <w:sz w:val="18"/>
                <w:szCs w:val="18"/>
              </w:rPr>
              <w:t>报废汽车回收企业</w:t>
            </w:r>
            <w:r>
              <w:rPr>
                <w:rFonts w:ascii="宋体" w:hAnsi="宋体" w:cs="宋体" w:hint="eastAsia"/>
                <w:color w:val="000000"/>
                <w:kern w:val="0"/>
                <w:sz w:val="18"/>
                <w:szCs w:val="18"/>
              </w:rPr>
              <w:t>实施监督检查</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E2054B">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sidR="00D20CB1">
              <w:rPr>
                <w:rFonts w:ascii="宋体" w:hAnsi="宋体" w:cs="宋体" w:hint="eastAsia"/>
                <w:color w:val="000000"/>
                <w:kern w:val="0"/>
                <w:sz w:val="18"/>
                <w:szCs w:val="18"/>
              </w:rPr>
              <w:t>《报废机动车回收管理办法》（国务院令第715号）第6条 。</w:t>
            </w:r>
          </w:p>
          <w:p w:rsidR="00E2054B" w:rsidRPr="00E2054B" w:rsidRDefault="00E2054B" w:rsidP="00E2054B">
            <w:pPr>
              <w:widowControl/>
              <w:spacing w:line="240" w:lineRule="exact"/>
              <w:jc w:val="left"/>
              <w:textAlignment w:val="center"/>
            </w:pPr>
            <w:r>
              <w:rPr>
                <w:rFonts w:ascii="宋体" w:hAnsi="宋体" w:cs="宋体" w:hint="eastAsia"/>
                <w:color w:val="000000"/>
                <w:kern w:val="0"/>
                <w:sz w:val="18"/>
                <w:szCs w:val="18"/>
              </w:rPr>
              <w:t>2.《报废机动车回收管理办法实施细则》（商务部令2020年2号） 。</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1.检查责任：定期根据法律法规对相关工作开展检查。</w:t>
            </w:r>
            <w:r>
              <w:rPr>
                <w:rFonts w:ascii="宋体" w:hAnsi="宋体" w:cs="宋体" w:hint="eastAsia"/>
                <w:color w:val="000000"/>
                <w:kern w:val="0"/>
                <w:sz w:val="18"/>
                <w:szCs w:val="18"/>
              </w:rPr>
              <w:br/>
              <w:t>2.处置责任：根据有关规定作出相应处置措施。</w:t>
            </w:r>
            <w:r>
              <w:rPr>
                <w:rFonts w:ascii="宋体" w:hAnsi="宋体" w:cs="宋体" w:hint="eastAsia"/>
                <w:color w:val="000000"/>
                <w:kern w:val="0"/>
                <w:sz w:val="18"/>
                <w:szCs w:val="18"/>
              </w:rPr>
              <w:br/>
              <w:t>3.事后管理责任：对检查情况进行汇总、分类、归档备查，并跟踪监测。</w:t>
            </w:r>
            <w:r>
              <w:rPr>
                <w:rFonts w:ascii="宋体" w:hAnsi="宋体" w:cs="宋体" w:hint="eastAsia"/>
                <w:color w:val="000000"/>
                <w:kern w:val="0"/>
                <w:sz w:val="18"/>
                <w:szCs w:val="18"/>
              </w:rPr>
              <w:br/>
              <w:t>4.其他：法律法规规章文件规定应履行的责任。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《报废机动车回收管理办法》</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rsidP="00E2054B">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1190"/>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rsidP="005A7D7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对</w:t>
            </w:r>
            <w:r w:rsidR="005A7D71">
              <w:rPr>
                <w:rFonts w:ascii="宋体" w:hAnsi="宋体" w:cs="宋体" w:hint="eastAsia"/>
                <w:color w:val="000000"/>
                <w:kern w:val="0"/>
                <w:sz w:val="18"/>
                <w:szCs w:val="18"/>
              </w:rPr>
              <w:t>二手车交易市场经营者和经营主体的监督管理</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《二手车流通管理办法》第三十五条、第三十六条。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1.检查责任：定期根据法律法规对相关工作开展检查。</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2.处置责任：根据有关规定作出相应处置措施。</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3.事后管理责任：对检查情况进行汇总、分类、归档备查，并跟踪监测。</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4.其他法律法规规章文件规定应履行的责任。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《二手车流通管理办法》 </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rsidP="005A7D7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外派劳务项目审查市级备案</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1.《对外劳务合作管理条例》第七条、第二十六条 ；</w:t>
            </w:r>
          </w:p>
          <w:p w:rsidR="00C40E4A" w:rsidRDefault="00D20CB1">
            <w:pPr>
              <w:widowControl/>
              <w:spacing w:line="240" w:lineRule="exact"/>
              <w:jc w:val="left"/>
              <w:textAlignment w:val="center"/>
              <w:rPr>
                <w:rFonts w:ascii="宋体" w:hAnsi="宋体" w:cs="宋体"/>
                <w:sz w:val="18"/>
                <w:szCs w:val="18"/>
              </w:rPr>
            </w:pPr>
            <w:r>
              <w:rPr>
                <w:rFonts w:ascii="宋体" w:hAnsi="宋体" w:cs="宋体" w:hint="eastAsia"/>
                <w:kern w:val="0"/>
                <w:sz w:val="18"/>
                <w:szCs w:val="18"/>
              </w:rPr>
              <w:t>2.《关于印发&lt;对外劳务合作项目审查有关问题的规定&gt;的通知》第二条。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sz w:val="18"/>
                <w:szCs w:val="18"/>
              </w:rPr>
            </w:pPr>
            <w:r>
              <w:rPr>
                <w:rFonts w:ascii="宋体" w:hAnsi="宋体" w:cs="宋体" w:hint="eastAsia"/>
                <w:kern w:val="0"/>
                <w:sz w:val="18"/>
                <w:szCs w:val="18"/>
              </w:rPr>
              <w:t>1.受理责任：公示法定应当提交的材料；一次性告知补正材料；依法受理或不予受理（不予受理应当告知理由）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3.决定责任：对符合条件的依法进行办理</w:t>
            </w:r>
            <w:r>
              <w:rPr>
                <w:rFonts w:ascii="宋体" w:hAnsi="宋体" w:cs="宋体" w:hint="eastAsia"/>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《对外劳务合作管理条例》</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单用途商业预付卡管理备案</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《单用途商业预付卡管理办法（试行）》(商务部令2012年第9号)第七条。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1.受理责任：公示法定应当提交的材料；一次性告知补正材料；依法受理或不予受理（不予受理应当告知理由）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3.决定责任：对符合条件的依法进行办理</w:t>
            </w:r>
            <w:r>
              <w:rPr>
                <w:rFonts w:ascii="宋体" w:hAnsi="宋体" w:cs="宋体" w:hint="eastAsia"/>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《单用途商业预付卡管理办法（试行）》</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195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11</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对外劳务合作备用金使用管理</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《对外劳务合作风险处置备用金管理办法》（试行）第三条、第二十二条。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1.受理责任：公示法定应当提交的材料；一次性告知补正材料；依法受理或不予受理（不予受理应当告知理由）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3.决定责任：对符合条件的依法进行办理</w:t>
            </w:r>
            <w:r>
              <w:rPr>
                <w:rFonts w:ascii="宋体" w:hAnsi="宋体" w:cs="宋体" w:hint="eastAsia"/>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《对外劳务合作风险处置备用金管理办法》</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1168"/>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400521" w:rsidP="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w:t>
            </w:r>
            <w:r w:rsidR="00580695">
              <w:rPr>
                <w:rFonts w:ascii="宋体" w:hAnsi="宋体" w:cs="宋体" w:hint="eastAsia"/>
                <w:color w:val="000000"/>
                <w:sz w:val="18"/>
                <w:szCs w:val="18"/>
              </w:rPr>
              <w:t>2</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再生资源回收经营者备案</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1.《再生资源回收管理办法》第七条 </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2.贵州省商务厅关于印发《贵州省商务系统省市县政务服务事项规范标准》的通知（黔商发〔2018〕163号）附件2第8项；</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3.遵义市商务局关于进一步做好部分审批服务事项委托及非清单内工作的通知（遵商通〔2018〕71号）；</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4.省工商局等十三部门关于贯彻落实全国统一“多证合一”改革意见的通知（黔工商注〔2018〕14号）附表第12项。</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1.受理责任：公示法定应当提交的材料；一次性告知补正材料；依法受理或不予受理（不予受理应当告知理由）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3.决定责任：对符合条件的依法进行办理</w:t>
            </w:r>
            <w:r>
              <w:rPr>
                <w:rFonts w:ascii="宋体" w:hAnsi="宋体" w:cs="宋体" w:hint="eastAsia"/>
                <w:color w:val="000000"/>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《再生资源回收管理办法》</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纳入“多证合一”改革。</w:t>
            </w: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400521" w:rsidP="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w:t>
            </w:r>
            <w:r w:rsidR="00580695">
              <w:rPr>
                <w:rFonts w:ascii="宋体" w:hAnsi="宋体" w:cs="宋体" w:hint="eastAsia"/>
                <w:color w:val="000000"/>
                <w:sz w:val="18"/>
                <w:szCs w:val="18"/>
              </w:rPr>
              <w:t>3</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从事洗染经营活动的备案</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《洗染业管理办法》（商务部、国家工商总局、环保总局令2007年第5号）第五条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1.受理责任：公示法定应当提交的材料；一次性告知补正材料；依法受理或不予受理（不予受理应当告知理由）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3.决定责任：对符合条件的依法进行办理</w:t>
            </w:r>
            <w:r>
              <w:rPr>
                <w:rFonts w:ascii="宋体" w:hAnsi="宋体" w:cs="宋体" w:hint="eastAsia"/>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《洗染业管理办法》</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400521" w:rsidP="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w:t>
            </w:r>
            <w:r w:rsidR="00580695">
              <w:rPr>
                <w:rFonts w:ascii="宋体" w:hAnsi="宋体" w:cs="宋体" w:hint="eastAsia"/>
                <w:color w:val="000000"/>
                <w:sz w:val="18"/>
                <w:szCs w:val="18"/>
              </w:rPr>
              <w:t>4</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企业不使用政府投资建设的除重大和限制类项目外的技术改造项目及工业、信息化固定资产投资项目备案</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1.《国务院关于投资体制改革的决定》（国发〔2004〕20号）；</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2.《企业投资项目核准和备案管理条例》（国务院令第673号）；</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3.《企业投资项目核准和备案管理办法》（国家发改委令2017年第2号）；</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4.《省人民政府关于印发贵州省企业投资项目核准和备案管理办法的通知》（黔府发〔2018〕7号）第三条；</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5.《省人民政府办公厅转发省发展改革委加快推进全省固定资产投资和重大项目建设有关工作制度的通知》（黔府办发〔2010〕125号）。</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1.受理责任：公示法定应当提交的材料；一次性告知补正材料；依法受理或不予受理（不予受理应当告知理由）</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3.决定责任：对符合条件的依法进行办理</w:t>
            </w:r>
            <w:r>
              <w:rPr>
                <w:rFonts w:ascii="宋体" w:hAnsi="宋体" w:cs="宋体" w:hint="eastAsia"/>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1.《国务院关于投资体制改革的决定》；</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2.《企业投资项目核准和备案管理条例》第5、15、16、17条；</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3.《企业投资项目核准和备案管理办法》第9、10、11、13、41、43条；</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4.《贵州省企业投资项目核准和备案管理办法》</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第9、10、11、13、41、43条。</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工业管理股、派驻政务服务中心窗口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15</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《成品油零售经营批准证书》变更（不涉及投资主体发生变化）（初审）</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1.《贵州省成品油市场管理实施细则》（黔商发〔2011〕95号）第二十条；</w:t>
            </w:r>
            <w:r>
              <w:rPr>
                <w:rFonts w:ascii="宋体" w:hAnsi="宋体" w:cs="宋体" w:hint="eastAsia"/>
                <w:color w:val="000000"/>
                <w:kern w:val="0"/>
                <w:sz w:val="18"/>
                <w:szCs w:val="18"/>
              </w:rPr>
              <w:br/>
              <w:t>2.《贵州省商务厅关于进一步贯彻落实&lt;省人民政府关于加快商贸流通业改革发展的意见&gt;推进成品油行政审批事项简政放权有关工作的通知》（黔商发〔2014〕164号）。</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1.受理责任：公示法定应当提交的材料；一次性告知补正材料；依法受理或不予受理（不予受理应当告知理由）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3.决定责任：对符合条件的依法进行办理</w:t>
            </w:r>
            <w:r>
              <w:rPr>
                <w:rFonts w:ascii="宋体" w:hAnsi="宋体" w:cs="宋体" w:hint="eastAsia"/>
                <w:color w:val="000000"/>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《贵州省成品油市场管理实施细则》</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成品油和汽车燃气管理股、派驻政务服务中心窗口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《成品油零售经营批准证书》遗失补办（初审）</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1.《贵州省成品油市场管理实施细则》（黔商发〔2011〕95号）第二十条；</w:t>
            </w:r>
            <w:r>
              <w:rPr>
                <w:rFonts w:ascii="宋体" w:hAnsi="宋体" w:cs="宋体" w:hint="eastAsia"/>
                <w:color w:val="000000"/>
                <w:kern w:val="0"/>
                <w:sz w:val="18"/>
                <w:szCs w:val="18"/>
              </w:rPr>
              <w:br/>
              <w:t>2.《贵州省商务厅关于进一步贯彻落实&lt;省人民政府关于加快商贸流通业改革发展的意见&gt;推进成品油行政审批事项简政放权有关工作的通知》（黔商发〔2014〕164号）。</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1.受理责任：公示法定应当提交的材料；一次性告知补正材料；依法受理或不予受理（不予受理应当告知理由）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3.决定责任：对符合条件的依法进行办理</w:t>
            </w:r>
            <w:r>
              <w:rPr>
                <w:rFonts w:ascii="宋体" w:hAnsi="宋体" w:cs="宋体" w:hint="eastAsia"/>
                <w:color w:val="000000"/>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《贵州省成品油市场管理实施细则》</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成品油和汽车燃气管理股、派驻政务服务中心窗口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加油站延期建设（初审）</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1.《成品油市场管理办法》（商务部令2006年第23号）； </w:t>
            </w:r>
            <w:r>
              <w:rPr>
                <w:rFonts w:ascii="宋体" w:hAnsi="宋体" w:cs="宋体" w:hint="eastAsia"/>
                <w:color w:val="000000"/>
                <w:kern w:val="0"/>
                <w:sz w:val="18"/>
                <w:szCs w:val="18"/>
              </w:rPr>
              <w:br/>
              <w:t>2.《贵州省成品油市场管理实施细则》（黔商发〔2011〕95号）第十六条。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1.受理责任：公示法定应当提交的材料；一次性告知补正材料；依法受理或不予受理（不予受理应当告知理由）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3.决定责任：对符合条件的依法进行办理</w:t>
            </w:r>
            <w:r>
              <w:rPr>
                <w:rFonts w:ascii="宋体" w:hAnsi="宋体" w:cs="宋体" w:hint="eastAsia"/>
                <w:color w:val="000000"/>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《贵州省成品油市场管理实施细则》</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成品油和汽车燃气管理股、派驻政务服务中心窗口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成品油经营企业暂时歇业审核</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1.《成品油市场管理办法》（商务部令2006年第23号）；</w:t>
            </w:r>
            <w:r>
              <w:rPr>
                <w:rFonts w:ascii="宋体" w:hAnsi="宋体" w:cs="宋体" w:hint="eastAsia"/>
                <w:color w:val="000000"/>
                <w:kern w:val="0"/>
                <w:sz w:val="18"/>
                <w:szCs w:val="18"/>
              </w:rPr>
              <w:br/>
              <w:t>2.《贵州省成品油市场管理实施细则》（黔商发〔2011〕95号）第十六条。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1.受理责任：公示法定应当提交的材料；一次性告知补正材料；依法受理或不予受理（不予受理应当告知理由）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3.决定责任：对符合条件的依法进行办理</w:t>
            </w:r>
            <w:r>
              <w:rPr>
                <w:rFonts w:ascii="宋体" w:hAnsi="宋体" w:cs="宋体" w:hint="eastAsia"/>
                <w:color w:val="000000"/>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《贵州省成品油市场管理实施细则》</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成品油和汽车燃气管理股、派驻政务服务中心窗口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2175"/>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19</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加油站经营资格注消（初审）</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1.《成品油市场管理办法》（商务部令2006年第23号）； </w:t>
            </w:r>
            <w:r>
              <w:rPr>
                <w:rFonts w:ascii="宋体" w:hAnsi="宋体" w:cs="宋体" w:hint="eastAsia"/>
                <w:color w:val="000000"/>
                <w:kern w:val="0"/>
                <w:sz w:val="18"/>
                <w:szCs w:val="18"/>
              </w:rPr>
              <w:br/>
              <w:t>2.《贵州省成品油市场管理实施细则》（黔商发〔2011〕95号）第十六条。</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1.受理责任：公示法定应当提交的材料；一次性告知补正材料；依法受理或不予受理（不予受理应当告知理由）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3.决定责任：对符合条件的依法进行办理</w:t>
            </w:r>
            <w:r>
              <w:rPr>
                <w:rFonts w:ascii="宋体" w:hAnsi="宋体" w:cs="宋体" w:hint="eastAsia"/>
                <w:color w:val="000000"/>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《贵州省成品油市场管理实施细则》</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成品油和汽车燃气管理股、派驻政务服务中心窗口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单位法定代表人、分管领导、内设机构负责人、窗口负责人、具体承办人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C40E4A">
            <w:pPr>
              <w:widowControl/>
              <w:spacing w:line="240" w:lineRule="exact"/>
              <w:jc w:val="left"/>
              <w:textAlignment w:val="center"/>
              <w:rPr>
                <w:rFonts w:ascii="宋体" w:hAnsi="宋体" w:cs="宋体"/>
                <w:color w:val="000000"/>
                <w:kern w:val="0"/>
                <w:sz w:val="18"/>
                <w:szCs w:val="18"/>
              </w:rPr>
            </w:pPr>
          </w:p>
        </w:tc>
      </w:tr>
      <w:tr w:rsidR="00C40E4A">
        <w:trPr>
          <w:trHeight w:val="1168"/>
        </w:trPr>
        <w:tc>
          <w:tcPr>
            <w:tcW w:w="411" w:type="dxa"/>
            <w:tcBorders>
              <w:top w:val="single" w:sz="4" w:space="0" w:color="000000"/>
              <w:left w:val="single" w:sz="4" w:space="0" w:color="000000"/>
              <w:bottom w:val="single" w:sz="4" w:space="0" w:color="000000"/>
              <w:right w:val="single" w:sz="4" w:space="0" w:color="000000"/>
            </w:tcBorders>
            <w:vAlign w:val="center"/>
          </w:tcPr>
          <w:p w:rsidR="00C40E4A" w:rsidRDefault="00580695">
            <w:pPr>
              <w:widowControl/>
              <w:spacing w:line="280" w:lineRule="exact"/>
              <w:jc w:val="center"/>
              <w:textAlignment w:val="center"/>
              <w:rPr>
                <w:rFonts w:ascii="宋体" w:hAnsi="宋体" w:cs="宋体"/>
                <w:color w:val="000000"/>
                <w:sz w:val="18"/>
                <w:szCs w:val="18"/>
              </w:rPr>
            </w:pPr>
            <w:bookmarkStart w:id="0" w:name="_GoBack"/>
            <w:bookmarkEnd w:id="0"/>
            <w:r>
              <w:rPr>
                <w:rFonts w:ascii="宋体" w:hAnsi="宋体" w:cs="宋体" w:hint="eastAsia"/>
                <w:color w:val="000000"/>
                <w:sz w:val="18"/>
                <w:szCs w:val="18"/>
              </w:rPr>
              <w:t>20</w:t>
            </w:r>
          </w:p>
        </w:tc>
        <w:tc>
          <w:tcPr>
            <w:tcW w:w="4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其他类</w:t>
            </w:r>
          </w:p>
        </w:tc>
        <w:tc>
          <w:tcPr>
            <w:tcW w:w="135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二手车交易市场及二手车经营主体备案管理</w:t>
            </w:r>
          </w:p>
        </w:tc>
        <w:tc>
          <w:tcPr>
            <w:tcW w:w="378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1.《二手车流通管理办法》（商务部、公安部、国家工商行政管理总局、国家税务总局令2005年第2号公布，商务部令2017年第3号修正）；</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2.贵州省商务厅关于印发《贵州省商务系统省市县政务服务事项规范标准》的通知（黔商发〔2018〕163号）附件2第8项；</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3.遵义市商务局关于进一步做好部分审批服务事项委托及非清单内工作的通知（遵商通〔2018〕71号）；</w:t>
            </w:r>
          </w:p>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4.省工商局等十三部门关于贯彻落实全国统一“多证合一”改革意见的通知（黔工商注〔2018〕14号）附表第34项。</w:t>
            </w:r>
          </w:p>
        </w:tc>
        <w:tc>
          <w:tcPr>
            <w:tcW w:w="489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1.受理责任：公示法定应当提交的材料；一次性告知补正材料；依法受理或不予受理（不予受理应当告知理由）</w:t>
            </w:r>
            <w:r>
              <w:rPr>
                <w:rFonts w:ascii="宋体" w:hAnsi="宋体" w:cs="宋体" w:hint="eastAsia"/>
                <w:color w:val="000000"/>
                <w:kern w:val="0"/>
                <w:sz w:val="18"/>
                <w:szCs w:val="18"/>
              </w:rPr>
              <w:br/>
              <w:t>2.审查责任：对申请人提交的申请材料进行审查，提出审查意见</w:t>
            </w:r>
            <w:r>
              <w:rPr>
                <w:rFonts w:ascii="宋体" w:hAnsi="宋体" w:cs="宋体" w:hint="eastAsia"/>
                <w:color w:val="000000"/>
                <w:kern w:val="0"/>
                <w:sz w:val="18"/>
                <w:szCs w:val="18"/>
              </w:rPr>
              <w:br/>
              <w:t>3.决定责任：对符合条件的依法进行办理</w:t>
            </w:r>
            <w:r>
              <w:rPr>
                <w:rFonts w:ascii="宋体" w:hAnsi="宋体" w:cs="宋体" w:hint="eastAsia"/>
                <w:color w:val="000000"/>
                <w:kern w:val="0"/>
                <w:sz w:val="18"/>
                <w:szCs w:val="18"/>
              </w:rPr>
              <w:br/>
              <w:t>4.法律法规规章文件规定应履行的其他责任。</w:t>
            </w:r>
          </w:p>
        </w:tc>
        <w:tc>
          <w:tcPr>
            <w:tcW w:w="1845"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《二手车流通管理办法》</w:t>
            </w:r>
          </w:p>
        </w:tc>
        <w:tc>
          <w:tcPr>
            <w:tcW w:w="853"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商务流通管理股、派驻政务服务中心窗口</w:t>
            </w:r>
          </w:p>
        </w:tc>
        <w:tc>
          <w:tcPr>
            <w:tcW w:w="1060"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单位法定代表人、分管领导、</w:t>
            </w:r>
            <w:r>
              <w:rPr>
                <w:rFonts w:ascii="宋体" w:hAnsi="宋体" w:cs="宋体" w:hint="eastAsia"/>
                <w:color w:val="000000"/>
                <w:kern w:val="0"/>
                <w:sz w:val="18"/>
                <w:szCs w:val="18"/>
              </w:rPr>
              <w:br/>
              <w:t>内设机构负责人、窗口负责人、具体承办人</w:t>
            </w:r>
          </w:p>
        </w:tc>
        <w:tc>
          <w:tcPr>
            <w:tcW w:w="771" w:type="dxa"/>
            <w:tcBorders>
              <w:top w:val="single" w:sz="4" w:space="0" w:color="000000"/>
              <w:left w:val="single" w:sz="4" w:space="0" w:color="000000"/>
              <w:bottom w:val="single" w:sz="4" w:space="0" w:color="000000"/>
              <w:right w:val="single" w:sz="4" w:space="0" w:color="000000"/>
            </w:tcBorders>
            <w:vAlign w:val="center"/>
          </w:tcPr>
          <w:p w:rsidR="00C40E4A" w:rsidRDefault="00D20CB1">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纳入“多证合一”改革。</w:t>
            </w:r>
          </w:p>
        </w:tc>
      </w:tr>
    </w:tbl>
    <w:p w:rsidR="00C40E4A" w:rsidRDefault="00C40E4A"/>
    <w:sectPr w:rsidR="00C40E4A" w:rsidSect="00C40E4A">
      <w:footerReference w:type="default" r:id="rId7"/>
      <w:pgSz w:w="16838" w:h="11906" w:orient="landscape"/>
      <w:pgMar w:top="567" w:right="283" w:bottom="283" w:left="283"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0A2" w:rsidRDefault="00A740A2" w:rsidP="00C40E4A">
      <w:r>
        <w:separator/>
      </w:r>
    </w:p>
  </w:endnote>
  <w:endnote w:type="continuationSeparator" w:id="1">
    <w:p w:rsidR="00A740A2" w:rsidRDefault="00A740A2" w:rsidP="00C40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4A" w:rsidRDefault="00AD4C93">
    <w:pPr>
      <w:pStyle w:val="a4"/>
      <w:jc w:val="center"/>
    </w:pPr>
    <w:r>
      <w:rPr>
        <w:rFonts w:hint="eastAsia"/>
      </w:rPr>
      <w:fldChar w:fldCharType="begin"/>
    </w:r>
    <w:r w:rsidR="00D20CB1">
      <w:rPr>
        <w:rFonts w:hint="eastAsia"/>
      </w:rPr>
      <w:instrText xml:space="preserve"> PAGE  \* MERGEFORMAT </w:instrText>
    </w:r>
    <w:r>
      <w:rPr>
        <w:rFonts w:hint="eastAsia"/>
      </w:rPr>
      <w:fldChar w:fldCharType="separate"/>
    </w:r>
    <w:r w:rsidR="00AC3E05">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0A2" w:rsidRDefault="00A740A2" w:rsidP="00C40E4A">
      <w:r>
        <w:separator/>
      </w:r>
    </w:p>
  </w:footnote>
  <w:footnote w:type="continuationSeparator" w:id="1">
    <w:p w:rsidR="00A740A2" w:rsidRDefault="00A740A2" w:rsidP="00C40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drawingGridVerticalSpacing w:val="158"/>
  <w:noPunctuationKerning/>
  <w:characterSpacingControl w:val="compressPunctuation"/>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D43DB"/>
    <w:rsid w:val="00172A27"/>
    <w:rsid w:val="002F7974"/>
    <w:rsid w:val="00363EAD"/>
    <w:rsid w:val="00400521"/>
    <w:rsid w:val="00580695"/>
    <w:rsid w:val="005A7D71"/>
    <w:rsid w:val="006A6E6B"/>
    <w:rsid w:val="0081010B"/>
    <w:rsid w:val="00A44698"/>
    <w:rsid w:val="00A740A2"/>
    <w:rsid w:val="00AC3E05"/>
    <w:rsid w:val="00AD4C93"/>
    <w:rsid w:val="00C40E4A"/>
    <w:rsid w:val="00C84A00"/>
    <w:rsid w:val="00D079C0"/>
    <w:rsid w:val="00D20CB1"/>
    <w:rsid w:val="00E2054B"/>
    <w:rsid w:val="00F00347"/>
    <w:rsid w:val="00FC3646"/>
    <w:rsid w:val="03FE3914"/>
    <w:rsid w:val="08FD7D71"/>
    <w:rsid w:val="09B8656B"/>
    <w:rsid w:val="09B91A06"/>
    <w:rsid w:val="0BEC5706"/>
    <w:rsid w:val="0BEF5A18"/>
    <w:rsid w:val="0E135109"/>
    <w:rsid w:val="0EA85741"/>
    <w:rsid w:val="0F374999"/>
    <w:rsid w:val="0FBC303E"/>
    <w:rsid w:val="0FF72B00"/>
    <w:rsid w:val="10184F9C"/>
    <w:rsid w:val="12CE6D8B"/>
    <w:rsid w:val="136074EC"/>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E354656"/>
    <w:rsid w:val="3EAA22B0"/>
    <w:rsid w:val="3EF82261"/>
    <w:rsid w:val="3FA41149"/>
    <w:rsid w:val="3FDD47BE"/>
    <w:rsid w:val="40FC3197"/>
    <w:rsid w:val="421B14CD"/>
    <w:rsid w:val="42347B9A"/>
    <w:rsid w:val="43BE08C1"/>
    <w:rsid w:val="43F97CBE"/>
    <w:rsid w:val="44144523"/>
    <w:rsid w:val="44F4633E"/>
    <w:rsid w:val="45071036"/>
    <w:rsid w:val="467B45ED"/>
    <w:rsid w:val="49213892"/>
    <w:rsid w:val="4A851FE0"/>
    <w:rsid w:val="4C26045A"/>
    <w:rsid w:val="4DD30A4B"/>
    <w:rsid w:val="4EB6257C"/>
    <w:rsid w:val="4F066D85"/>
    <w:rsid w:val="51A64A24"/>
    <w:rsid w:val="53816CEE"/>
    <w:rsid w:val="55DB5A39"/>
    <w:rsid w:val="55DD7E63"/>
    <w:rsid w:val="55EE2EF1"/>
    <w:rsid w:val="56230FC5"/>
    <w:rsid w:val="57D7349F"/>
    <w:rsid w:val="580B36EF"/>
    <w:rsid w:val="589D55F7"/>
    <w:rsid w:val="58A24C12"/>
    <w:rsid w:val="59766B44"/>
    <w:rsid w:val="5A254335"/>
    <w:rsid w:val="5A99635B"/>
    <w:rsid w:val="5D133214"/>
    <w:rsid w:val="5DD3580E"/>
    <w:rsid w:val="5E8B6BDD"/>
    <w:rsid w:val="5EB56722"/>
    <w:rsid w:val="601B6E37"/>
    <w:rsid w:val="603D055B"/>
    <w:rsid w:val="631D32C5"/>
    <w:rsid w:val="63251090"/>
    <w:rsid w:val="6328695D"/>
    <w:rsid w:val="63E325C9"/>
    <w:rsid w:val="64DD46FE"/>
    <w:rsid w:val="66DC3886"/>
    <w:rsid w:val="68984A3A"/>
    <w:rsid w:val="69FF20E5"/>
    <w:rsid w:val="6A1C2DF1"/>
    <w:rsid w:val="6A7A3FF4"/>
    <w:rsid w:val="6A89388B"/>
    <w:rsid w:val="6ADF49B6"/>
    <w:rsid w:val="6B534B69"/>
    <w:rsid w:val="6C210C01"/>
    <w:rsid w:val="6C2D041C"/>
    <w:rsid w:val="6CDA24CA"/>
    <w:rsid w:val="6F2059DD"/>
    <w:rsid w:val="708128FA"/>
    <w:rsid w:val="71DE04EC"/>
    <w:rsid w:val="72005B6A"/>
    <w:rsid w:val="74082FAD"/>
    <w:rsid w:val="74D643EF"/>
    <w:rsid w:val="756C13DA"/>
    <w:rsid w:val="75B62D12"/>
    <w:rsid w:val="76417FB3"/>
    <w:rsid w:val="765B1C12"/>
    <w:rsid w:val="77C57DFB"/>
    <w:rsid w:val="79D93FCE"/>
    <w:rsid w:val="7B33223F"/>
    <w:rsid w:val="7B701341"/>
    <w:rsid w:val="7F757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40E4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C40E4A"/>
    <w:pPr>
      <w:jc w:val="center"/>
      <w:outlineLvl w:val="0"/>
    </w:pPr>
    <w:rPr>
      <w:rFonts w:ascii="Arial" w:eastAsia="仿宋_GB2312" w:hAnsi="Arial"/>
      <w:b/>
      <w:sz w:val="32"/>
    </w:rPr>
  </w:style>
  <w:style w:type="paragraph" w:styleId="a4">
    <w:name w:val="footer"/>
    <w:basedOn w:val="a"/>
    <w:qFormat/>
    <w:rsid w:val="00C40E4A"/>
    <w:pPr>
      <w:tabs>
        <w:tab w:val="center" w:pos="4153"/>
        <w:tab w:val="right" w:pos="8306"/>
      </w:tabs>
      <w:snapToGrid w:val="0"/>
      <w:jc w:val="left"/>
    </w:pPr>
    <w:rPr>
      <w:sz w:val="18"/>
    </w:rPr>
  </w:style>
  <w:style w:type="paragraph" w:styleId="a5">
    <w:name w:val="header"/>
    <w:basedOn w:val="a"/>
    <w:qFormat/>
    <w:rsid w:val="00C40E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40E4A"/>
    <w:pPr>
      <w:spacing w:beforeAutospacing="1" w:afterAutospacing="1"/>
      <w:jc w:val="left"/>
    </w:pPr>
    <w:rPr>
      <w:kern w:val="0"/>
      <w:sz w:val="24"/>
    </w:rPr>
  </w:style>
  <w:style w:type="character" w:styleId="a7">
    <w:name w:val="Hyperlink"/>
    <w:basedOn w:val="a1"/>
    <w:qFormat/>
    <w:rsid w:val="00C40E4A"/>
    <w:rPr>
      <w:color w:val="0000FF"/>
      <w:u w:val="single"/>
    </w:rPr>
  </w:style>
  <w:style w:type="character" w:customStyle="1" w:styleId="font81">
    <w:name w:val="font81"/>
    <w:basedOn w:val="a1"/>
    <w:qFormat/>
    <w:rsid w:val="00C40E4A"/>
    <w:rPr>
      <w:rFonts w:ascii="宋体" w:eastAsia="宋体" w:hAnsi="宋体" w:cs="宋体" w:hint="eastAsia"/>
      <w:color w:val="000000"/>
      <w:sz w:val="20"/>
      <w:szCs w:val="20"/>
      <w:u w:val="none"/>
    </w:rPr>
  </w:style>
  <w:style w:type="character" w:customStyle="1" w:styleId="font61">
    <w:name w:val="font61"/>
    <w:basedOn w:val="a1"/>
    <w:qFormat/>
    <w:rsid w:val="00C40E4A"/>
    <w:rPr>
      <w:rFonts w:ascii="Times New Roman" w:hAnsi="Times New Roman" w:cs="Times New Roman" w:hint="default"/>
      <w:color w:val="000000"/>
      <w:sz w:val="20"/>
      <w:szCs w:val="20"/>
      <w:u w:val="none"/>
    </w:rPr>
  </w:style>
  <w:style w:type="character" w:customStyle="1" w:styleId="font71">
    <w:name w:val="font71"/>
    <w:basedOn w:val="a1"/>
    <w:qFormat/>
    <w:rsid w:val="00C40E4A"/>
    <w:rPr>
      <w:rFonts w:ascii="宋体" w:eastAsia="宋体" w:hAnsi="宋体" w:cs="宋体" w:hint="eastAsia"/>
      <w:color w:val="000000"/>
      <w:sz w:val="20"/>
      <w:szCs w:val="20"/>
      <w:u w:val="none"/>
    </w:rPr>
  </w:style>
  <w:style w:type="character" w:customStyle="1" w:styleId="font01">
    <w:name w:val="font01"/>
    <w:basedOn w:val="a1"/>
    <w:qFormat/>
    <w:rsid w:val="00C40E4A"/>
    <w:rPr>
      <w:rFonts w:ascii="Times New Roman" w:hAnsi="Times New Roman" w:cs="Times New Roman" w:hint="default"/>
      <w:color w:val="FF0000"/>
      <w:sz w:val="20"/>
      <w:szCs w:val="20"/>
      <w:u w:val="none"/>
    </w:rPr>
  </w:style>
  <w:style w:type="character" w:customStyle="1" w:styleId="font131">
    <w:name w:val="font131"/>
    <w:basedOn w:val="a1"/>
    <w:qFormat/>
    <w:rsid w:val="00C40E4A"/>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4、县工业和信息化局权力清单和责任清单目录</dc:title>
  <dc:creator>sw1</dc:creator>
  <cp:lastModifiedBy>PC</cp:lastModifiedBy>
  <cp:revision>10</cp:revision>
  <cp:lastPrinted>2019-04-18T03:18:00Z</cp:lastPrinted>
  <dcterms:created xsi:type="dcterms:W3CDTF">2017-08-17T03:39:00Z</dcterms:created>
  <dcterms:modified xsi:type="dcterms:W3CDTF">2021-06-07T01:06:00Z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