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590" w:lineRule="exact"/>
        <w:ind w:firstLine="720"/>
        <w:rPr>
          <w:rFonts w:hint="eastAsia"/>
        </w:rPr>
      </w:pPr>
    </w:p>
    <w:p>
      <w:pPr>
        <w:bidi w:val="0"/>
      </w:pPr>
    </w:p>
    <w:p>
      <w:pPr>
        <w:adjustRightInd/>
        <w:snapToGrid/>
        <w:spacing w:line="240" w:lineRule="auto"/>
        <w:ind w:firstLine="0" w:firstLineChars="0"/>
        <w:jc w:val="center"/>
        <w:rPr>
          <w:rFonts w:hint="eastAsia" w:ascii="方正小标宋简体" w:hAnsi="黑体" w:eastAsia="方正小标宋简体" w:cs="宋体"/>
          <w:kern w:val="0"/>
          <w:sz w:val="44"/>
          <w:szCs w:val="44"/>
          <w:lang w:val="en-US" w:eastAsia="zh-CN"/>
        </w:rPr>
      </w:pPr>
      <w:r>
        <w:rPr>
          <w:rFonts w:hint="eastAsia" w:ascii="方正小标宋简体" w:hAnsi="黑体" w:eastAsia="方正小标宋简体" w:cs="宋体"/>
          <w:kern w:val="0"/>
          <w:sz w:val="44"/>
          <w:szCs w:val="44"/>
          <w:lang w:val="en-US" w:eastAsia="zh-CN"/>
        </w:rPr>
        <w:t>绥阳县经济贸易局</w:t>
      </w:r>
      <w:r>
        <w:rPr>
          <w:rFonts w:hint="eastAsia" w:ascii="方正小标宋简体" w:hAnsi="黑体" w:eastAsia="方正小标宋简体" w:cs="宋体"/>
          <w:kern w:val="0"/>
          <w:sz w:val="44"/>
          <w:szCs w:val="44"/>
        </w:rPr>
        <w:t>20</w:t>
      </w:r>
      <w:r>
        <w:rPr>
          <w:rFonts w:hint="eastAsia" w:ascii="方正小标宋简体" w:hAnsi="黑体" w:eastAsia="方正小标宋简体" w:cs="宋体"/>
          <w:kern w:val="0"/>
          <w:sz w:val="44"/>
          <w:szCs w:val="44"/>
          <w:lang w:val="en-US" w:eastAsia="zh-CN"/>
        </w:rPr>
        <w:t>21</w:t>
      </w:r>
      <w:r>
        <w:rPr>
          <w:rFonts w:hint="eastAsia" w:ascii="方正小标宋简体" w:hAnsi="黑体" w:eastAsia="方正小标宋简体" w:cs="宋体"/>
          <w:kern w:val="0"/>
          <w:sz w:val="44"/>
          <w:szCs w:val="44"/>
        </w:rPr>
        <w:t>年</w:t>
      </w:r>
      <w:r>
        <w:rPr>
          <w:rFonts w:hint="eastAsia" w:ascii="方正小标宋简体" w:hAnsi="黑体" w:eastAsia="方正小标宋简体" w:cs="宋体"/>
          <w:kern w:val="0"/>
          <w:sz w:val="44"/>
          <w:szCs w:val="44"/>
          <w:lang w:val="en-US" w:eastAsia="zh-CN"/>
        </w:rPr>
        <w:t>部门整体支出</w:t>
      </w: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adjustRightInd/>
        <w:snapToGrid/>
        <w:spacing w:line="240" w:lineRule="auto"/>
        <w:ind w:firstLine="0" w:firstLineChars="0"/>
        <w:jc w:val="center"/>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bidi w:val="0"/>
        <w:spacing w:line="590" w:lineRule="exact"/>
        <w:ind w:firstLine="720"/>
        <w:rPr>
          <w:rFonts w:cstheme="minorBidi"/>
          <w:spacing w:val="6"/>
          <w:szCs w:val="24"/>
        </w:rPr>
      </w:pPr>
    </w:p>
    <w:p>
      <w:pPr>
        <w:adjustRightInd/>
        <w:snapToGrid/>
        <w:spacing w:line="400" w:lineRule="exact"/>
        <w:ind w:firstLine="2760" w:firstLineChars="115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报告编号：QCJ-PJ-20</w:t>
      </w:r>
      <w:r>
        <w:rPr>
          <w:rFonts w:hint="eastAsia" w:ascii="黑体" w:hAnsi="黑体" w:eastAsia="黑体" w:cs="宋体"/>
          <w:kern w:val="0"/>
          <w:sz w:val="24"/>
          <w:szCs w:val="24"/>
          <w:lang w:val="en-US" w:eastAsia="zh-CN"/>
        </w:rPr>
        <w:t>22</w:t>
      </w:r>
      <w:r>
        <w:rPr>
          <w:rFonts w:hint="eastAsia" w:ascii="黑体" w:hAnsi="黑体" w:eastAsia="黑体" w:cs="宋体"/>
          <w:kern w:val="0"/>
          <w:sz w:val="24"/>
          <w:szCs w:val="24"/>
        </w:rPr>
        <w:t>-</w:t>
      </w:r>
      <w:r>
        <w:rPr>
          <w:rFonts w:hint="eastAsia" w:ascii="黑体" w:hAnsi="黑体" w:eastAsia="黑体" w:cs="宋体"/>
          <w:kern w:val="0"/>
          <w:sz w:val="24"/>
          <w:szCs w:val="24"/>
          <w:lang w:val="en-US" w:eastAsia="zh-CN"/>
        </w:rPr>
        <w:t>0916</w:t>
      </w:r>
    </w:p>
    <w:p>
      <w:pPr>
        <w:adjustRightInd/>
        <w:snapToGrid/>
        <w:spacing w:line="400" w:lineRule="exact"/>
        <w:ind w:firstLine="2760" w:firstLineChars="115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委托单位：</w:t>
      </w:r>
      <w:r>
        <w:rPr>
          <w:rFonts w:hint="eastAsia" w:ascii="黑体" w:hAnsi="黑体" w:eastAsia="黑体" w:cs="宋体"/>
          <w:kern w:val="0"/>
          <w:sz w:val="24"/>
          <w:szCs w:val="24"/>
          <w:lang w:val="en-US" w:eastAsia="zh-CN"/>
        </w:rPr>
        <w:t>绥阳县财政局</w:t>
      </w:r>
    </w:p>
    <w:p>
      <w:pPr>
        <w:adjustRightInd/>
        <w:snapToGrid/>
        <w:spacing w:line="400" w:lineRule="exact"/>
        <w:ind w:firstLine="2760" w:firstLineChars="115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评价机构：</w:t>
      </w:r>
      <w:r>
        <w:rPr>
          <w:rFonts w:hint="eastAsia" w:ascii="黑体" w:hAnsi="黑体" w:eastAsia="黑体" w:cs="宋体"/>
          <w:kern w:val="0"/>
          <w:sz w:val="24"/>
          <w:szCs w:val="24"/>
          <w:lang w:val="en-US" w:eastAsia="zh-CN"/>
        </w:rPr>
        <w:t>广州业越管理咨询有限公司</w:t>
      </w:r>
    </w:p>
    <w:p>
      <w:pPr>
        <w:adjustRightInd/>
        <w:snapToGrid/>
        <w:spacing w:line="400" w:lineRule="exact"/>
        <w:ind w:firstLine="2760" w:firstLineChars="1150"/>
        <w:jc w:val="left"/>
        <w:rPr>
          <w:rFonts w:ascii="黑体" w:hAnsi="黑体" w:eastAsia="黑体" w:cs="宋体"/>
          <w:kern w:val="0"/>
          <w:sz w:val="24"/>
          <w:szCs w:val="24"/>
        </w:rPr>
      </w:pPr>
      <w:r>
        <w:rPr>
          <w:rFonts w:hint="eastAsia" w:ascii="黑体" w:hAnsi="黑体" w:eastAsia="黑体" w:cs="宋体"/>
          <w:kern w:val="0"/>
          <w:sz w:val="24"/>
          <w:szCs w:val="24"/>
        </w:rPr>
        <w:t>报告时间：20</w:t>
      </w:r>
      <w:r>
        <w:rPr>
          <w:rFonts w:hint="eastAsia" w:ascii="黑体" w:hAnsi="黑体" w:eastAsia="黑体" w:cs="宋体"/>
          <w:kern w:val="0"/>
          <w:sz w:val="24"/>
          <w:szCs w:val="24"/>
          <w:lang w:val="en-US" w:eastAsia="zh-CN"/>
        </w:rPr>
        <w:t>22</w:t>
      </w:r>
      <w:r>
        <w:rPr>
          <w:rFonts w:hint="eastAsia" w:ascii="黑体" w:hAnsi="黑体" w:eastAsia="黑体" w:cs="宋体"/>
          <w:kern w:val="0"/>
          <w:sz w:val="24"/>
          <w:szCs w:val="24"/>
        </w:rPr>
        <w:t>年</w:t>
      </w:r>
      <w:r>
        <w:rPr>
          <w:rFonts w:hint="eastAsia" w:ascii="黑体" w:hAnsi="黑体" w:eastAsia="黑体" w:cs="宋体"/>
          <w:kern w:val="0"/>
          <w:sz w:val="24"/>
          <w:szCs w:val="24"/>
          <w:lang w:val="en-US" w:eastAsia="zh-CN"/>
        </w:rPr>
        <w:t>10</w:t>
      </w:r>
      <w:r>
        <w:rPr>
          <w:rFonts w:hint="eastAsia" w:ascii="黑体" w:hAnsi="黑体" w:eastAsia="黑体" w:cs="宋体"/>
          <w:kern w:val="0"/>
          <w:sz w:val="24"/>
          <w:szCs w:val="24"/>
        </w:rPr>
        <w:t>月</w:t>
      </w:r>
      <w:r>
        <w:rPr>
          <w:rFonts w:hint="eastAsia" w:ascii="黑体" w:hAnsi="黑体" w:eastAsia="黑体" w:cs="宋体"/>
          <w:kern w:val="0"/>
          <w:sz w:val="24"/>
          <w:szCs w:val="24"/>
          <w:lang w:val="en-US" w:eastAsia="zh-CN"/>
        </w:rPr>
        <w:t>15</w:t>
      </w:r>
      <w:r>
        <w:rPr>
          <w:rFonts w:hint="eastAsia" w:ascii="黑体" w:hAnsi="黑体" w:eastAsia="黑体" w:cs="宋体"/>
          <w:kern w:val="0"/>
          <w:sz w:val="24"/>
          <w:szCs w:val="24"/>
        </w:rPr>
        <w:t>日</w:t>
      </w:r>
    </w:p>
    <w:p>
      <w:pPr>
        <w:rPr>
          <w:rFonts w:ascii="Times New Roman" w:hAnsi="黑体" w:eastAsia="黑体" w:cs="宋体"/>
          <w:kern w:val="0"/>
          <w:sz w:val="24"/>
          <w:szCs w:val="24"/>
        </w:rPr>
      </w:pPr>
      <w:r>
        <w:rPr>
          <w:rFonts w:ascii="Times New Roman" w:hAnsi="黑体" w:eastAsia="黑体" w:cs="宋体"/>
          <w:kern w:val="0"/>
          <w:sz w:val="24"/>
          <w:szCs w:val="24"/>
        </w:rPr>
        <w:br w:type="page"/>
      </w:r>
    </w:p>
    <w:tbl>
      <w:tblPr>
        <w:tblStyle w:val="22"/>
        <w:tblpPr w:leftFromText="180" w:rightFromText="180" w:vertAnchor="text" w:horzAnchor="page" w:tblpX="1786" w:tblpY="-79"/>
        <w:tblOverlap w:val="never"/>
        <w:tblW w:w="8983" w:type="dxa"/>
        <w:tblInd w:w="0" w:type="dxa"/>
        <w:tblLayout w:type="fixed"/>
        <w:tblCellMar>
          <w:top w:w="15" w:type="dxa"/>
          <w:left w:w="15" w:type="dxa"/>
          <w:bottom w:w="15" w:type="dxa"/>
          <w:right w:w="15" w:type="dxa"/>
        </w:tblCellMar>
      </w:tblPr>
      <w:tblGrid>
        <w:gridCol w:w="1291"/>
        <w:gridCol w:w="954"/>
        <w:gridCol w:w="635"/>
        <w:gridCol w:w="1388"/>
        <w:gridCol w:w="223"/>
        <w:gridCol w:w="1364"/>
        <w:gridCol w:w="539"/>
        <w:gridCol w:w="343"/>
        <w:gridCol w:w="345"/>
        <w:gridCol w:w="649"/>
        <w:gridCol w:w="1252"/>
      </w:tblGrid>
      <w:tr>
        <w:tblPrEx>
          <w:tblCellMar>
            <w:top w:w="15" w:type="dxa"/>
            <w:left w:w="15" w:type="dxa"/>
            <w:bottom w:w="15" w:type="dxa"/>
            <w:right w:w="15" w:type="dxa"/>
          </w:tblCellMar>
        </w:tblPrEx>
        <w:trPr>
          <w:trHeight w:val="301" w:hRule="atLeast"/>
        </w:trPr>
        <w:tc>
          <w:tcPr>
            <w:tcW w:w="8983" w:type="dxa"/>
            <w:gridSpan w:val="11"/>
            <w:noWrap w:val="0"/>
            <w:vAlign w:val="center"/>
          </w:tcPr>
          <w:p>
            <w:pPr>
              <w:adjustRightInd/>
              <w:snapToGrid/>
              <w:spacing w:line="240" w:lineRule="auto"/>
              <w:ind w:firstLine="0" w:firstLineChars="0"/>
              <w:rPr>
                <w:rFonts w:hint="eastAsia" w:ascii="黑体" w:hAnsi="宋体" w:eastAsia="黑体" w:cs="黑体"/>
                <w:color w:val="000000"/>
                <w:sz w:val="24"/>
                <w:lang w:val="en-US" w:eastAsia="zh-CN"/>
              </w:rPr>
            </w:pPr>
            <w:r>
              <w:rPr>
                <w:rFonts w:hint="eastAsia" w:ascii="黑体" w:hAnsi="宋体" w:eastAsia="黑体" w:cs="黑体"/>
                <w:color w:val="000000"/>
                <w:kern w:val="0"/>
                <w:sz w:val="24"/>
              </w:rPr>
              <w:t>评价分值：87.96</w:t>
            </w:r>
            <w:r>
              <w:rPr>
                <w:rStyle w:val="41"/>
                <w:rFonts w:hint="eastAsia" w:hAnsi="宋体"/>
              </w:rPr>
              <w:t xml:space="preserve">      </w:t>
            </w:r>
            <w:r>
              <w:rPr>
                <w:rFonts w:hint="eastAsia" w:ascii="黑体" w:hAnsi="宋体" w:eastAsia="黑体" w:cs="黑体"/>
                <w:color w:val="000000"/>
                <w:kern w:val="0"/>
                <w:sz w:val="24"/>
              </w:rPr>
              <w:t>评价等级：</w:t>
            </w:r>
            <w:r>
              <w:rPr>
                <w:rFonts w:ascii="黑体" w:hAnsi="宋体" w:eastAsia="黑体" w:cs="黑体"/>
                <w:color w:val="000000"/>
                <w:sz w:val="24"/>
              </w:rPr>
              <w:t xml:space="preserve"> </w:t>
            </w:r>
            <w:r>
              <w:rPr>
                <w:rFonts w:hint="eastAsia" w:ascii="黑体" w:hAnsi="宋体" w:eastAsia="黑体" w:cs="黑体"/>
                <w:color w:val="000000"/>
                <w:sz w:val="24"/>
                <w:lang w:val="en-US" w:eastAsia="zh-CN"/>
              </w:rPr>
              <w:t>良</w:t>
            </w:r>
          </w:p>
        </w:tc>
      </w:tr>
      <w:tr>
        <w:tblPrEx>
          <w:tblCellMar>
            <w:top w:w="15" w:type="dxa"/>
            <w:left w:w="15" w:type="dxa"/>
            <w:bottom w:w="15" w:type="dxa"/>
            <w:right w:w="15" w:type="dxa"/>
          </w:tblCellMar>
        </w:tblPrEx>
        <w:trPr>
          <w:trHeight w:val="299" w:hRule="atLeast"/>
        </w:trPr>
        <w:tc>
          <w:tcPr>
            <w:tcW w:w="8983" w:type="dxa"/>
            <w:gridSpan w:val="11"/>
            <w:noWrap w:val="0"/>
            <w:vAlign w:val="center"/>
          </w:tcPr>
          <w:p>
            <w:pPr>
              <w:widowControl/>
              <w:adjustRightInd/>
              <w:snapToGrid/>
              <w:spacing w:line="240" w:lineRule="auto"/>
              <w:ind w:firstLine="0" w:firstLineChars="0"/>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概   要</w:t>
            </w:r>
          </w:p>
        </w:tc>
      </w:tr>
      <w:tr>
        <w:tblPrEx>
          <w:tblCellMar>
            <w:top w:w="15" w:type="dxa"/>
            <w:left w:w="15" w:type="dxa"/>
            <w:bottom w:w="15" w:type="dxa"/>
            <w:right w:w="15" w:type="dxa"/>
          </w:tblCellMar>
        </w:tblPrEx>
        <w:trPr>
          <w:trHeight w:val="330" w:hRule="atLeast"/>
        </w:trPr>
        <w:tc>
          <w:tcPr>
            <w:tcW w:w="8983" w:type="dxa"/>
            <w:gridSpan w:val="11"/>
            <w:noWrap w:val="0"/>
            <w:vAlign w:val="center"/>
          </w:tcPr>
          <w:p>
            <w:pPr>
              <w:widowControl/>
              <w:adjustRightInd/>
              <w:snapToGrid/>
              <w:spacing w:line="240" w:lineRule="auto"/>
              <w:ind w:firstLine="0" w:firstLineChars="0"/>
              <w:jc w:val="left"/>
              <w:textAlignment w:val="center"/>
              <w:rPr>
                <w:rFonts w:ascii="黑体" w:hAnsi="黑体" w:eastAsia="黑体" w:cs="仿宋_GB2312"/>
                <w:color w:val="000000"/>
                <w:sz w:val="22"/>
              </w:rPr>
            </w:pPr>
            <w:r>
              <w:rPr>
                <w:rFonts w:hint="eastAsia" w:ascii="黑体" w:hAnsi="黑体" w:eastAsia="黑体" w:cs="仿宋_GB2312"/>
                <w:color w:val="000000"/>
                <w:kern w:val="0"/>
                <w:sz w:val="22"/>
              </w:rPr>
              <w:t xml:space="preserve">评价机构全称（盖章）：                                        </w:t>
            </w:r>
            <w:r>
              <w:rPr>
                <w:rFonts w:hint="eastAsia" w:ascii="黑体" w:hAnsi="黑体" w:eastAsia="黑体" w:cs="仿宋_GB2312"/>
                <w:color w:val="000000"/>
                <w:kern w:val="0"/>
                <w:sz w:val="22"/>
                <w:lang w:val="en-US" w:eastAsia="zh-CN"/>
              </w:rPr>
              <w:t xml:space="preserve">    </w:t>
            </w:r>
            <w:r>
              <w:rPr>
                <w:rFonts w:hint="eastAsia" w:ascii="黑体" w:hAnsi="黑体" w:eastAsia="黑体" w:cs="仿宋_GB2312"/>
                <w:color w:val="000000"/>
                <w:kern w:val="0"/>
                <w:sz w:val="22"/>
              </w:rPr>
              <w:t>单位：万元、个</w:t>
            </w:r>
          </w:p>
        </w:tc>
      </w:tr>
      <w:tr>
        <w:tblPrEx>
          <w:tblCellMar>
            <w:top w:w="15" w:type="dxa"/>
            <w:left w:w="15" w:type="dxa"/>
            <w:bottom w:w="15" w:type="dxa"/>
            <w:right w:w="15" w:type="dxa"/>
          </w:tblCellMar>
        </w:tblPrEx>
        <w:trPr>
          <w:trHeight w:val="359"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5103"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left"/>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绥阳县经济贸易局</w:t>
            </w:r>
            <w:r>
              <w:rPr>
                <w:rFonts w:hint="eastAsia" w:ascii="仿宋_GB2312" w:hAnsi="宋体" w:eastAsia="仿宋_GB2312" w:cs="仿宋_GB2312"/>
                <w:color w:val="000000"/>
                <w:sz w:val="20"/>
                <w:szCs w:val="20"/>
                <w:lang w:val="en-US" w:eastAsia="zh-CN"/>
              </w:rPr>
              <w:t>20</w:t>
            </w:r>
            <w:r>
              <w:rPr>
                <w:rFonts w:hint="eastAsia" w:hAnsi="宋体" w:cs="仿宋_GB2312"/>
                <w:color w:val="000000"/>
                <w:sz w:val="20"/>
                <w:szCs w:val="20"/>
                <w:lang w:val="en-US" w:eastAsia="zh-CN"/>
              </w:rPr>
              <w:t>21</w:t>
            </w:r>
            <w:r>
              <w:rPr>
                <w:rFonts w:hint="eastAsia" w:ascii="仿宋_GB2312" w:hAnsi="宋体" w:eastAsia="仿宋_GB2312" w:cs="仿宋_GB2312"/>
                <w:color w:val="000000"/>
                <w:sz w:val="20"/>
                <w:szCs w:val="20"/>
                <w:lang w:val="en-US" w:eastAsia="zh-CN"/>
              </w:rPr>
              <w:t>年部门整体支出绩效评价</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2021</w:t>
            </w:r>
          </w:p>
        </w:tc>
      </w:tr>
      <w:tr>
        <w:tblPrEx>
          <w:tblCellMar>
            <w:top w:w="15" w:type="dxa"/>
            <w:left w:w="15" w:type="dxa"/>
            <w:bottom w:w="15" w:type="dxa"/>
            <w:right w:w="15" w:type="dxa"/>
          </w:tblCellMar>
        </w:tblPrEx>
        <w:trPr>
          <w:trHeight w:val="339"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财政主管处室</w:t>
            </w:r>
          </w:p>
        </w:tc>
        <w:tc>
          <w:tcPr>
            <w:tcW w:w="297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hAnsi="宋体" w:cs="仿宋_GB2312"/>
                <w:color w:val="000000"/>
                <w:sz w:val="20"/>
                <w:szCs w:val="20"/>
                <w:lang w:val="en-US" w:eastAsia="zh-CN"/>
              </w:rPr>
              <w:t>绩效评估股</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hAnsi="宋体" w:cs="仿宋_GB2312"/>
                <w:color w:val="000000"/>
                <w:sz w:val="20"/>
                <w:szCs w:val="20"/>
                <w:lang w:val="en-US" w:eastAsia="zh-CN"/>
              </w:rPr>
              <w:t>杨开良13885289268</w:t>
            </w:r>
          </w:p>
        </w:tc>
      </w:tr>
      <w:tr>
        <w:tblPrEx>
          <w:tblCellMar>
            <w:top w:w="15" w:type="dxa"/>
            <w:left w:w="15" w:type="dxa"/>
            <w:bottom w:w="15" w:type="dxa"/>
            <w:right w:w="15" w:type="dxa"/>
          </w:tblCellMar>
        </w:tblPrEx>
        <w:trPr>
          <w:trHeight w:val="291"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主管部门</w:t>
            </w:r>
          </w:p>
        </w:tc>
        <w:tc>
          <w:tcPr>
            <w:tcW w:w="297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hAnsi="宋体" w:cs="仿宋_GB2312"/>
                <w:color w:val="000000"/>
                <w:sz w:val="20"/>
                <w:szCs w:val="20"/>
                <w:lang w:val="en-US" w:eastAsia="zh-CN"/>
              </w:rPr>
              <w:t>绥阳县经济贸易局</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 xml:space="preserve">胡小娜13984539653 </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lang w:eastAsia="zh-CN"/>
              </w:rPr>
              <w:t>部门总收</w:t>
            </w:r>
            <w:r>
              <w:rPr>
                <w:rFonts w:hint="eastAsia" w:ascii="黑体" w:hAnsi="宋体" w:eastAsia="黑体" w:cs="黑体"/>
                <w:color w:val="000000"/>
                <w:kern w:val="0"/>
                <w:sz w:val="20"/>
                <w:szCs w:val="20"/>
              </w:rPr>
              <w:t>入</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773.34</w:t>
            </w:r>
          </w:p>
        </w:tc>
        <w:tc>
          <w:tcPr>
            <w:tcW w:w="1388"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sz w:val="20"/>
                <w:szCs w:val="20"/>
                <w:lang w:eastAsia="zh-CN"/>
              </w:rPr>
              <w:t>财政拨款收入</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773.34</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sz w:val="20"/>
                <w:szCs w:val="20"/>
                <w:lang w:eastAsia="zh-CN"/>
              </w:rPr>
              <w:t>其他收入</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0</w:t>
            </w:r>
          </w:p>
        </w:tc>
      </w:tr>
      <w:tr>
        <w:tblPrEx>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部门总支出</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12234.23</w:t>
            </w:r>
          </w:p>
        </w:tc>
        <w:tc>
          <w:tcPr>
            <w:tcW w:w="1388"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基本支出</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910.74</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项目支出</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11323.49</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lang w:eastAsia="zh-CN"/>
              </w:rPr>
              <w:t>预算</w:t>
            </w:r>
            <w:r>
              <w:rPr>
                <w:rFonts w:hint="eastAsia" w:ascii="黑体" w:hAnsi="宋体" w:eastAsia="黑体" w:cs="黑体"/>
                <w:color w:val="000000"/>
                <w:kern w:val="0"/>
                <w:sz w:val="20"/>
                <w:szCs w:val="20"/>
              </w:rPr>
              <w:t>项目数</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4</w:t>
            </w:r>
          </w:p>
        </w:tc>
        <w:tc>
          <w:tcPr>
            <w:tcW w:w="1388"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抽查项目数</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3</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lang w:eastAsia="zh-CN"/>
              </w:rPr>
              <w:t>项目</w:t>
            </w:r>
            <w:r>
              <w:rPr>
                <w:rFonts w:hint="eastAsia" w:ascii="黑体" w:hAnsi="宋体" w:eastAsia="黑体" w:cs="黑体"/>
                <w:color w:val="000000"/>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adjustRightInd/>
              <w:snapToGrid/>
              <w:spacing w:line="240" w:lineRule="auto"/>
              <w:ind w:firstLine="0" w:firstLineChars="0"/>
              <w:jc w:val="center"/>
              <w:rPr>
                <w:rFonts w:hint="default" w:ascii="宋体" w:hAnsi="宋体" w:eastAsia="宋体" w:cs="宋体"/>
                <w:color w:val="000000"/>
                <w:sz w:val="20"/>
                <w:szCs w:val="20"/>
                <w:lang w:val="en-US" w:eastAsia="zh-CN"/>
              </w:rPr>
            </w:pPr>
            <w:r>
              <w:rPr>
                <w:rFonts w:hint="eastAsia" w:hAnsi="宋体" w:cs="仿宋_GB2312"/>
                <w:color w:val="000000"/>
                <w:sz w:val="20"/>
                <w:szCs w:val="20"/>
                <w:lang w:val="en-US" w:eastAsia="zh-CN"/>
              </w:rPr>
              <w:t>75%</w:t>
            </w:r>
          </w:p>
        </w:tc>
      </w:tr>
      <w:tr>
        <w:tblPrEx>
          <w:tblCellMar>
            <w:top w:w="15" w:type="dxa"/>
            <w:left w:w="15" w:type="dxa"/>
            <w:bottom w:w="15" w:type="dxa"/>
            <w:right w:w="15" w:type="dxa"/>
          </w:tblCellMar>
        </w:tblPrEx>
        <w:trPr>
          <w:trHeight w:val="494" w:hRule="atLeast"/>
        </w:trPr>
        <w:tc>
          <w:tcPr>
            <w:tcW w:w="1291"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预算项目支出</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11323.49</w:t>
            </w:r>
          </w:p>
        </w:tc>
        <w:tc>
          <w:tcPr>
            <w:tcW w:w="1388"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eastAsia="zh-CN"/>
              </w:rPr>
            </w:pPr>
            <w:r>
              <w:rPr>
                <w:rFonts w:hint="eastAsia" w:ascii="黑体" w:hAnsi="宋体" w:eastAsia="黑体" w:cs="黑体"/>
                <w:color w:val="000000"/>
                <w:kern w:val="0"/>
                <w:sz w:val="20"/>
                <w:szCs w:val="20"/>
                <w:lang w:eastAsia="zh-CN"/>
              </w:rPr>
              <w:t>抽查项目资金数</w:t>
            </w:r>
          </w:p>
        </w:tc>
        <w:tc>
          <w:tcPr>
            <w:tcW w:w="212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11942.74</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eastAsia="zh-CN"/>
              </w:rPr>
            </w:pPr>
            <w:r>
              <w:rPr>
                <w:rFonts w:hint="eastAsia" w:ascii="黑体" w:hAnsi="宋体" w:eastAsia="黑体" w:cs="黑体"/>
                <w:color w:val="000000"/>
                <w:kern w:val="0"/>
                <w:sz w:val="20"/>
                <w:szCs w:val="20"/>
                <w:lang w:eastAsia="zh-CN"/>
              </w:rPr>
              <w:t>资金抽查占比</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adjustRightInd/>
              <w:snapToGrid/>
              <w:spacing w:line="240" w:lineRule="auto"/>
              <w:ind w:firstLine="0" w:firstLineChars="0"/>
              <w:jc w:val="center"/>
              <w:rPr>
                <w:rFonts w:hint="default" w:ascii="宋体" w:hAnsi="宋体" w:eastAsia="宋体" w:cs="宋体"/>
                <w:color w:val="000000"/>
                <w:sz w:val="20"/>
                <w:szCs w:val="20"/>
                <w:lang w:val="en-US" w:eastAsia="zh-CN"/>
              </w:rPr>
            </w:pPr>
            <w:r>
              <w:rPr>
                <w:rFonts w:hint="eastAsia" w:hAnsi="宋体" w:cs="仿宋_GB2312"/>
                <w:color w:val="000000"/>
                <w:sz w:val="20"/>
                <w:szCs w:val="20"/>
                <w:lang w:val="en-US" w:eastAsia="zh-CN"/>
              </w:rPr>
              <w:t>97.62%</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发放调查</w:t>
            </w:r>
          </w:p>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问卷</w:t>
            </w:r>
          </w:p>
        </w:tc>
        <w:tc>
          <w:tcPr>
            <w:tcW w:w="1589"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lang w:eastAsia="zh-CN"/>
              </w:rPr>
              <w:t>：</w:t>
            </w:r>
            <w:r>
              <w:rPr>
                <w:rFonts w:hint="eastAsia"/>
                <w:color w:val="000000"/>
                <w:kern w:val="0"/>
                <w:sz w:val="20"/>
                <w:szCs w:val="20"/>
                <w:lang w:val="en-US" w:eastAsia="zh-CN"/>
              </w:rPr>
              <w:t>33</w:t>
            </w:r>
            <w:r>
              <w:rPr>
                <w:color w:val="000000"/>
                <w:kern w:val="0"/>
                <w:sz w:val="20"/>
                <w:szCs w:val="20"/>
              </w:rPr>
              <w:t>份</w:t>
            </w:r>
            <w:r>
              <w:rPr>
                <w:rFonts w:hint="eastAsia"/>
                <w:color w:val="000000"/>
                <w:kern w:val="0"/>
                <w:sz w:val="20"/>
                <w:szCs w:val="20"/>
              </w:rPr>
              <w:t>；</w:t>
            </w: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82</w:t>
            </w:r>
            <w:r>
              <w:rPr>
                <w:rFonts w:hint="eastAsia"/>
                <w:color w:val="000000"/>
                <w:kern w:val="0"/>
                <w:sz w:val="20"/>
                <w:szCs w:val="20"/>
              </w:rPr>
              <w:t>份；</w:t>
            </w:r>
          </w:p>
        </w:tc>
        <w:tc>
          <w:tcPr>
            <w:tcW w:w="138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ascii="黑体" w:hAnsi="宋体" w:eastAsia="黑体" w:cs="黑体"/>
                <w:color w:val="000000"/>
                <w:kern w:val="0"/>
                <w:sz w:val="20"/>
                <w:szCs w:val="20"/>
              </w:rPr>
              <w:t>有效调查问卷</w:t>
            </w:r>
          </w:p>
        </w:tc>
        <w:tc>
          <w:tcPr>
            <w:tcW w:w="1587"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仿宋_GB2312" w:hAnsi="宋体" w:eastAsia="仿宋_GB2312" w:cs="仿宋_GB2312"/>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lang w:eastAsia="zh-CN"/>
              </w:rPr>
              <w:t>：</w:t>
            </w:r>
            <w:r>
              <w:rPr>
                <w:rFonts w:hint="eastAsia"/>
                <w:color w:val="000000"/>
                <w:kern w:val="0"/>
                <w:sz w:val="20"/>
                <w:szCs w:val="20"/>
                <w:lang w:val="en-US" w:eastAsia="zh-CN"/>
              </w:rPr>
              <w:t>33</w:t>
            </w:r>
            <w:r>
              <w:rPr>
                <w:color w:val="000000"/>
                <w:kern w:val="0"/>
                <w:sz w:val="20"/>
                <w:szCs w:val="20"/>
              </w:rPr>
              <w:t>份</w:t>
            </w:r>
            <w:r>
              <w:rPr>
                <w:rFonts w:hint="eastAsia"/>
                <w:color w:val="000000"/>
                <w:kern w:val="0"/>
                <w:sz w:val="20"/>
                <w:szCs w:val="20"/>
              </w:rPr>
              <w:t>；</w:t>
            </w: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82</w:t>
            </w:r>
            <w:r>
              <w:rPr>
                <w:rFonts w:hint="eastAsia"/>
                <w:color w:val="000000"/>
                <w:kern w:val="0"/>
                <w:sz w:val="20"/>
                <w:szCs w:val="20"/>
              </w:rPr>
              <w:t>份；</w:t>
            </w:r>
          </w:p>
        </w:tc>
        <w:tc>
          <w:tcPr>
            <w:tcW w:w="1227"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满意度情况</w:t>
            </w:r>
          </w:p>
        </w:tc>
        <w:tc>
          <w:tcPr>
            <w:tcW w:w="190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lang w:eastAsia="zh-CN"/>
              </w:rPr>
              <w:t>：</w:t>
            </w:r>
            <w:r>
              <w:rPr>
                <w:rFonts w:hint="eastAsia"/>
                <w:color w:val="000000"/>
                <w:kern w:val="0"/>
                <w:sz w:val="20"/>
                <w:szCs w:val="20"/>
                <w:lang w:val="en-US" w:eastAsia="zh-CN"/>
              </w:rPr>
              <w:t>98.79%</w:t>
            </w:r>
            <w:r>
              <w:rPr>
                <w:rFonts w:hint="eastAsia"/>
                <w:color w:val="000000"/>
                <w:kern w:val="0"/>
                <w:sz w:val="20"/>
                <w:szCs w:val="20"/>
              </w:rPr>
              <w:t>；</w:t>
            </w:r>
          </w:p>
          <w:p>
            <w:pPr>
              <w:widowControl/>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98.78%</w:t>
            </w:r>
            <w:r>
              <w:rPr>
                <w:rFonts w:hint="eastAsia"/>
                <w:color w:val="000000"/>
                <w:kern w:val="0"/>
                <w:sz w:val="20"/>
                <w:szCs w:val="20"/>
              </w:rPr>
              <w:t>；</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绩效目标</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实现情况</w:t>
            </w:r>
          </w:p>
        </w:tc>
        <w:tc>
          <w:tcPr>
            <w:tcW w:w="7692" w:type="dxa"/>
            <w:gridSpan w:val="10"/>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任务1：保障机构正常运转，发挥单位基本职能，保障人员工资，基本支出正常发放；</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任务2：促进工业高质量健康发展；</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任务3：促进2021年煤矿安全监察执法计划顺利执行，进一步加强对煤矿安全监察工作的服务保障；</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任务4：建立农村电子商务公共服务体系，农村物流配送效益明显提升。</w:t>
            </w:r>
          </w:p>
        </w:tc>
      </w:tr>
      <w:tr>
        <w:tblPrEx>
          <w:tblCellMar>
            <w:top w:w="15" w:type="dxa"/>
            <w:left w:w="15" w:type="dxa"/>
            <w:bottom w:w="15" w:type="dxa"/>
            <w:right w:w="15" w:type="dxa"/>
          </w:tblCellMar>
        </w:tblPrEx>
        <w:trPr>
          <w:trHeight w:val="750" w:hRule="atLeast"/>
        </w:trPr>
        <w:tc>
          <w:tcPr>
            <w:tcW w:w="1291" w:type="dxa"/>
            <w:tcBorders>
              <w:top w:val="single" w:color="auto" w:sz="4" w:space="0"/>
              <w:left w:val="single" w:color="auto" w:sz="4" w:space="0"/>
              <w:bottom w:val="single" w:color="auto" w:sz="4" w:space="0"/>
              <w:right w:val="single" w:color="auto"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简要情况</w:t>
            </w:r>
          </w:p>
        </w:tc>
        <w:tc>
          <w:tcPr>
            <w:tcW w:w="7692" w:type="dxa"/>
            <w:gridSpan w:val="10"/>
            <w:tcBorders>
              <w:top w:val="single" w:color="auto" w:sz="4" w:space="0"/>
              <w:left w:val="single" w:color="auto" w:sz="4" w:space="0"/>
              <w:bottom w:val="single" w:color="auto" w:sz="4" w:space="0"/>
              <w:right w:val="single" w:color="auto" w:sz="4" w:space="0"/>
            </w:tcBorders>
            <w:noWrap w:val="0"/>
            <w:vAlign w:val="center"/>
          </w:tcPr>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（一）绩效目标管理不到位，编制水平有待提高</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该部门设定绩效目标的过程中对大部分年度总体绩效目标细化分解为具体工作任务，部分绩效目标、绩效指标明确性方面存在不足，主要表现在以下几个方面：一是部分指标性质归类不准。二是部分绩效指标明确性、清晰度及可衡量程度需进一步提升。三是部分指标设置重复。四是部分指标设置不准确。</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（二）年度工作计划不明确，细化程度有待提高</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根据《绥阳县经济贸易局2021年工作计划》，该计划对全局工作主要指标计划、重点工作计划、中心工作计划以及工作措施作出要求，但根据已制定的年度工作任务，未明确人员安排、牵头领导、牵头科室以及工作完成时限，无法考核工作是否在规定时间完成。</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（三）预算调整幅度过大，经费控制率偏高</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经贸局2021年年初预算批复收入773.34万元，决算收入12384.23万元，本年度决算收入除绥阳县标准化厂房二期建设项目专项债券项目资金11000万元为2021年新增地方政府专项债券资金，部门预算调增610.80万元，预算调整率为78.98%。</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县经贸局2021年公用经费年初预算数15.07万元，实际支出26.22万元，公用经费控制率为173.99%。</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（四）财务制度执行不够彻底，会计核算仍需规范</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第三方随机抽查被评价单位记账凭证及相关明细账，在该部门记账凭证中发现：记账凭证中记账、审核、制表均为同一人，不符合“《会计基础工作规范》中制单人和记账人可为同一人，审核人和记账人也可同一人，但制单人和审核人不能为同一人”之规定。</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（五）资产管理欠规范，管理水平有待提升</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固定资产管理欠规范，固定资产卡片账执行不彻底，单位购置的固定资产实物无资产标号标贴，影响固定资产卡片信息完整性、准确性，存在资产流失风险。</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（六）部分工作完成不及时，执行效率需要提升。</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依据《绥阳县经济贸易局关于印发电煤保供方案的通知》，绥阳县2021年下达电煤任务400000吨，其中：联盟煤矿、大岩脚煤矿各200000吨，截至2021年12月31日，联盟煤矿原煤产量46259吨；大岩脚煤矿原煤产量48014吨，共计原煤产量94273吨。绥阳自备电厂协调外调电煤17248吨，全县累计完成电煤保供111521吨，未达到预期计划目标完成值。</w:t>
            </w:r>
          </w:p>
        </w:tc>
      </w:tr>
      <w:tr>
        <w:tblPrEx>
          <w:tblCellMar>
            <w:top w:w="15" w:type="dxa"/>
            <w:left w:w="15" w:type="dxa"/>
            <w:bottom w:w="15" w:type="dxa"/>
            <w:right w:w="15" w:type="dxa"/>
          </w:tblCellMar>
        </w:tblPrEx>
        <w:trPr>
          <w:trHeight w:val="752" w:hRule="atLeast"/>
        </w:trPr>
        <w:tc>
          <w:tcPr>
            <w:tcW w:w="1291" w:type="dxa"/>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简要建议</w:t>
            </w:r>
          </w:p>
        </w:tc>
        <w:tc>
          <w:tcPr>
            <w:tcW w:w="7692" w:type="dxa"/>
            <w:gridSpan w:val="10"/>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（一）重视绩效管理工作，完善目标管理机制</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目标管理是预算绩效管理的基础，建议县经贸局聚焦部门职能、部门规划和年度重点工作任务、预算安排，提炼出明确可考核的部门整体和项目绩效目标、指标，强化预算与绩效管理一体化，使其能够在符合客观实际的前提下，准确、</w:t>
            </w:r>
            <w:r>
              <w:rPr>
                <w:rFonts w:hint="eastAsia" w:ascii="仿宋_GB2312" w:hAnsi="宋体" w:eastAsia="仿宋_GB2312" w:cs="仿宋_GB2312"/>
                <w:color w:val="000000"/>
                <w:sz w:val="20"/>
                <w:szCs w:val="20"/>
                <w:highlight w:val="none"/>
              </w:rPr>
              <w:t>全面地反映</w:t>
            </w:r>
            <w:r>
              <w:rPr>
                <w:rFonts w:hint="eastAsia" w:ascii="仿宋_GB2312" w:hAnsi="宋体" w:eastAsia="仿宋_GB2312" w:cs="仿宋_GB2312"/>
                <w:color w:val="000000"/>
                <w:sz w:val="20"/>
                <w:szCs w:val="20"/>
              </w:rPr>
              <w:t>部门年度工作履职情况。</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（二）提高年度工作编制水平，完善经贸工作履职效能</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建立年度工作任务和目标的分解落实机制，并开展督查、考核工作，进一步提升履职效能。建议县经贸局在年初预算分配的同时，明确工作人员安排、牵头领导、牵头科室以及工作完成时限。</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合理规划申报部门支出，严格控制经费管理。做好年度基础信息统计，按照统一的时间节点、统计口径进行数据统计，保证部门预算资金完成情况、各汇总表、汇报情况数据一致，为下年预算编制提供依据，结合上一年度预算执行情况和本年度预算情况科学性的编制收支预算，提高预算准确性。合理规划申报部门差旅费用支出渠道，保障预算调整在合理范围内正常波动，避免出现公用经费“三公经费”超支情况，进一步规范经费管理，保证经费支出合理、合规。</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（四）强化财务监管水平，规范财务核算工作</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会计人员严格按照《会计基础工作规范》中“制单人和记账人可为同一人，审核人和记账人也可同一人，但制单人和审核人不能为同一人”之规定，履行会计监督职能，会计人员配备严格按照会计职责的需要独立设岗，不相容职责一定相分离；会计人员要重视财务工作的重要性和严肃性，提高会计核算业务水平，强化财务监管水平，规范财务核算。</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（五）落实执行资产管理制度，提升资产管理水平</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落实执行固定资产卡片账管理，针对新购置的固定资产准确填写资产卡片账信息、固定资产类别代码，并为其粘贴资产标号标贴，确保资产信息完整性、准确性，规范单位资产管理，强化资产管理。</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（六）严格执行工作计划，提高项目实施效率</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一是严格落实计划工作，保障工作质量。建议县经贸局以及相关部门严格落实计划任务，细化工作任务，进一步保障电煤保供任务完成率</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二是及时调整问题对策，破解难题，提高工作效率。建议县经贸局相关责任部门，及时研究计划落实障碍，</w:t>
            </w:r>
            <w:r>
              <w:rPr>
                <w:rFonts w:hint="eastAsia" w:ascii="仿宋_GB2312" w:hAnsi="宋体" w:eastAsia="仿宋_GB2312" w:cs="仿宋_GB2312"/>
                <w:color w:val="000000"/>
                <w:sz w:val="20"/>
                <w:szCs w:val="20"/>
                <w:highlight w:val="none"/>
              </w:rPr>
              <w:t>有针对性的制定</w:t>
            </w:r>
            <w:r>
              <w:rPr>
                <w:rFonts w:hint="eastAsia" w:ascii="仿宋_GB2312" w:hAnsi="宋体" w:eastAsia="仿宋_GB2312" w:cs="仿宋_GB2312"/>
                <w:color w:val="000000"/>
                <w:sz w:val="20"/>
                <w:szCs w:val="20"/>
              </w:rPr>
              <w:t>应对措施和风险预案，保证计划顺利落实。</w:t>
            </w:r>
          </w:p>
        </w:tc>
      </w:tr>
      <w:tr>
        <w:tblPrEx>
          <w:tblCellMar>
            <w:top w:w="15" w:type="dxa"/>
            <w:left w:w="15" w:type="dxa"/>
            <w:bottom w:w="15" w:type="dxa"/>
            <w:right w:w="15" w:type="dxa"/>
          </w:tblCellMar>
        </w:tblPrEx>
        <w:trPr>
          <w:trHeight w:val="629" w:hRule="atLeast"/>
        </w:trPr>
        <w:tc>
          <w:tcPr>
            <w:tcW w:w="1291" w:type="dxa"/>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评价结果</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应用建议</w:t>
            </w:r>
          </w:p>
        </w:tc>
        <w:tc>
          <w:tcPr>
            <w:tcW w:w="7692" w:type="dxa"/>
            <w:gridSpan w:val="10"/>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（一）整改建议</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对于本次绩效评价结果发现的问题，县财政局应督促预算单位尽快制定合理有效的整改方案，并对整改方案的落实进行监督。</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（二）下年预算安排建议</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县经贸局在下一年度申报预算时，应进一步明确年初绩效目标。同时，鉴于部门年初任务保质保量按时完成，且部门社会效益比较明显，建议财政预算安排维持其申报预算规模。</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（三）绩效评价结果公开建议</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建议向社会公开此次评价结果。</w:t>
            </w:r>
          </w:p>
        </w:tc>
      </w:tr>
      <w:tr>
        <w:tblPrEx>
          <w:tblCellMar>
            <w:top w:w="15" w:type="dxa"/>
            <w:left w:w="15" w:type="dxa"/>
            <w:bottom w:w="15" w:type="dxa"/>
            <w:right w:w="15" w:type="dxa"/>
          </w:tblCellMar>
        </w:tblPrEx>
        <w:trPr>
          <w:trHeight w:val="510" w:hRule="atLeast"/>
        </w:trPr>
        <w:tc>
          <w:tcPr>
            <w:tcW w:w="2245" w:type="dxa"/>
            <w:gridSpan w:val="2"/>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评价时间</w:t>
            </w:r>
          </w:p>
        </w:tc>
        <w:tc>
          <w:tcPr>
            <w:tcW w:w="2246"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r>
              <w:rPr>
                <w:rFonts w:hint="eastAsia" w:hAnsi="宋体" w:cs="仿宋_GB2312"/>
                <w:color w:val="000000"/>
                <w:sz w:val="20"/>
                <w:szCs w:val="20"/>
                <w:lang w:val="en-US" w:eastAsia="zh-CN"/>
              </w:rPr>
              <w:t>22</w:t>
            </w:r>
            <w:r>
              <w:rPr>
                <w:rFonts w:hint="eastAsia" w:ascii="仿宋_GB2312" w:hAnsi="宋体" w:eastAsia="仿宋_GB2312" w:cs="仿宋_GB2312"/>
                <w:color w:val="000000"/>
                <w:sz w:val="20"/>
                <w:szCs w:val="20"/>
              </w:rPr>
              <w:t>年2022年8月25日至2022年10月15日</w:t>
            </w:r>
          </w:p>
        </w:tc>
        <w:tc>
          <w:tcPr>
            <w:tcW w:w="2246"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评价机构报告编号</w:t>
            </w:r>
          </w:p>
        </w:tc>
        <w:tc>
          <w:tcPr>
            <w:tcW w:w="2246"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ascii="仿宋_GB2312" w:hAnsi="宋体" w:eastAsia="仿宋_GB2312" w:cs="仿宋_GB2312"/>
                <w:color w:val="000000"/>
                <w:sz w:val="20"/>
                <w:szCs w:val="20"/>
              </w:rPr>
              <w:t>QCJ-PJ-2022-091</w:t>
            </w:r>
            <w:r>
              <w:rPr>
                <w:rFonts w:hint="eastAsia" w:hAnsi="宋体" w:cs="仿宋_GB2312"/>
                <w:color w:val="000000"/>
                <w:sz w:val="20"/>
                <w:szCs w:val="20"/>
                <w:lang w:val="en-US" w:eastAsia="zh-CN"/>
              </w:rPr>
              <w:t>6</w:t>
            </w:r>
          </w:p>
        </w:tc>
      </w:tr>
      <w:tr>
        <w:tblPrEx>
          <w:tblCellMar>
            <w:top w:w="15" w:type="dxa"/>
            <w:left w:w="15" w:type="dxa"/>
            <w:bottom w:w="15" w:type="dxa"/>
            <w:right w:w="15" w:type="dxa"/>
          </w:tblCellMar>
        </w:tblPrEx>
        <w:trPr>
          <w:trHeight w:val="631" w:hRule="atLeast"/>
        </w:trPr>
        <w:tc>
          <w:tcPr>
            <w:tcW w:w="2245" w:type="dxa"/>
            <w:gridSpan w:val="2"/>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lang w:eastAsia="zh-CN"/>
              </w:rPr>
              <w:t>项目主评人</w:t>
            </w:r>
            <w:r>
              <w:rPr>
                <w:rFonts w:hint="eastAsia" w:ascii="黑体" w:hAnsi="黑体" w:eastAsia="黑体" w:cs="仿宋_GB2312"/>
                <w:color w:val="000000"/>
                <w:sz w:val="20"/>
                <w:szCs w:val="20"/>
              </w:rPr>
              <w:t>（签字）</w:t>
            </w:r>
          </w:p>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p>
        </w:tc>
        <w:tc>
          <w:tcPr>
            <w:tcW w:w="2246"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法定代表人（签字）</w:t>
            </w:r>
          </w:p>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p>
        </w:tc>
      </w:tr>
    </w:tbl>
    <w:p>
      <w:pPr>
        <w:pStyle w:val="15"/>
        <w:keepNext w:val="0"/>
        <w:keepLines w:val="0"/>
        <w:pageBreakBefore w:val="0"/>
        <w:widowControl w:val="0"/>
        <w:tabs>
          <w:tab w:val="right" w:leader="dot" w:pos="8302"/>
        </w:tabs>
        <w:kinsoku/>
        <w:wordWrap/>
        <w:overflowPunct/>
        <w:topLinePunct w:val="0"/>
        <w:autoSpaceDE/>
        <w:autoSpaceDN/>
        <w:bidi w:val="0"/>
        <w:adjustRightInd w:val="0"/>
        <w:snapToGrid w:val="0"/>
        <w:spacing w:line="560" w:lineRule="exact"/>
        <w:ind w:firstLine="0" w:firstLineChars="0"/>
        <w:jc w:val="center"/>
        <w:textAlignment w:val="auto"/>
        <w:outlineLvl w:val="9"/>
        <w:rPr>
          <w:rFonts w:hint="eastAsia" w:ascii="方正小标宋简体" w:hAnsi="黑体" w:eastAsia="方正小标宋简体" w:cs="宋体"/>
          <w:sz w:val="44"/>
          <w:szCs w:val="44"/>
        </w:rPr>
        <w:sectPr>
          <w:pgSz w:w="11906" w:h="16838"/>
          <w:pgMar w:top="1984" w:right="1474" w:bottom="1871" w:left="1474" w:header="851" w:footer="992" w:gutter="0"/>
          <w:pgNumType w:fmt="upperRoman"/>
          <w:cols w:space="425" w:num="1"/>
          <w:docGrid w:type="lines" w:linePitch="312" w:charSpace="0"/>
        </w:sectPr>
      </w:pPr>
      <w:bookmarkStart w:id="1" w:name="_GoBack"/>
      <w:bookmarkEnd w:id="1"/>
      <w:bookmarkStart w:id="0" w:name="_Toc1585"/>
    </w:p>
    <w:bookmarkEnd w:id="0"/>
    <w:p>
      <w:pPr>
        <w:pStyle w:val="2"/>
        <w:spacing w:line="240" w:lineRule="auto"/>
        <w:ind w:left="0" w:leftChars="0" w:firstLine="0" w:firstLineChars="0"/>
        <w:rPr>
          <w:rFonts w:hint="default"/>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7" name="文本框 1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ocpcVAgAAFwQAAA4AAABkcnMvZTJvRG9jLnhtbK1Ty47TMBTdI/EP&#10;lvc0aRFDqZqOyoyKkCpmpIJm7TpOE8kv2W6T8gHwB6zYsOe7+h0cO01nBKwQG/v6vu+5x/PrTkly&#10;EM43Rhd0PMopEZqbstG7gn76uHoxpcQHpksmjRYFPQpPrxfPn81bOxMTUxtZCkeQRPtZawtah2Bn&#10;WeZ5LRTzI2OFhrEyTrGAp9tlpWMtsiuZTfL8KmuNK60zXHgP7W1vpIuUv6oED3dV5UUgsqDoLaTT&#10;pXMbz2wxZ7OdY7Zu+LkN9g9dKNZoFL2kumWBkb1r/kilGu6MN1UYcaMyU1UNF2kGTDPOf5tmUzMr&#10;0iwAx9sLTP7/peUfDveONCV29+Y1JZopLOn07evp+8/Tjy8kKgFRa/0MnhsL39C9NR3cB72HMk7e&#10;VU7FGzMR2AH28QKw6ALhMWg6mU5zmDhswwP5s8dw63x4J4wiUSiowwYTsOyw9qF3HVxiNW1WjZRp&#10;i1KTtqBXL1/lKeBiQXKpUSMO0TcbpdBtu/NkW1MeMZgzPTu85asGxdfMh3vmQAc0DIqHOxyVNChi&#10;zhIltXGf/6aP/tgSrJS0oFdBNfhPiXyvsb3IxEFwg7AdBL1XNwZ8HePrWJ5EBLggB7FyRj2A98tY&#10;AyamOSoVNAziTegpjn/DxXKZnPbWNbu6DwD3LAtrvbE8lolAervcB4CZMI4A9aiccQP70pbOPyXS&#10;++k7eT3+58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EocpcVAgAAFwQAAA4AAAAAAAAA&#10;AQAgAAAAHwEAAGRycy9lMm9Eb2MueG1sUEsFBgAAAAAGAAYAWQEAAKYFAAAAAA==&#10;">
              <v:fill on="f" focussize="0,0"/>
              <v:stroke on="f" weight="0.5pt"/>
              <v:imagedata o:title=""/>
              <o:lock v:ext="edit" aspectratio="f"/>
              <v:textbox inset="0mm,0mm,0mm,0mm" style="mso-fit-shape-to-text:t;">
                <w:txbxContent>
                  <w:p>
                    <w:pPr>
                      <w:pStyle w:val="13"/>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000B2C81"/>
    <w:rsid w:val="00001817"/>
    <w:rsid w:val="00042B62"/>
    <w:rsid w:val="0004377F"/>
    <w:rsid w:val="000947E5"/>
    <w:rsid w:val="000A4D20"/>
    <w:rsid w:val="000B2C81"/>
    <w:rsid w:val="000C3026"/>
    <w:rsid w:val="000F2CCE"/>
    <w:rsid w:val="001154AB"/>
    <w:rsid w:val="001353F0"/>
    <w:rsid w:val="001503F5"/>
    <w:rsid w:val="001628DB"/>
    <w:rsid w:val="001C16C0"/>
    <w:rsid w:val="001D1300"/>
    <w:rsid w:val="001E36F7"/>
    <w:rsid w:val="002066F2"/>
    <w:rsid w:val="00206B99"/>
    <w:rsid w:val="00206CC3"/>
    <w:rsid w:val="002253EC"/>
    <w:rsid w:val="0027098F"/>
    <w:rsid w:val="00290C27"/>
    <w:rsid w:val="002B6F3E"/>
    <w:rsid w:val="002D49A7"/>
    <w:rsid w:val="00305630"/>
    <w:rsid w:val="0031040E"/>
    <w:rsid w:val="00334E84"/>
    <w:rsid w:val="00346889"/>
    <w:rsid w:val="00382343"/>
    <w:rsid w:val="00393D42"/>
    <w:rsid w:val="003948AB"/>
    <w:rsid w:val="00397E51"/>
    <w:rsid w:val="003D26CA"/>
    <w:rsid w:val="003E5287"/>
    <w:rsid w:val="00404E2C"/>
    <w:rsid w:val="00407098"/>
    <w:rsid w:val="0042325A"/>
    <w:rsid w:val="004642A8"/>
    <w:rsid w:val="004949E9"/>
    <w:rsid w:val="004B1F61"/>
    <w:rsid w:val="004B4E15"/>
    <w:rsid w:val="00506917"/>
    <w:rsid w:val="0052524A"/>
    <w:rsid w:val="00540C6C"/>
    <w:rsid w:val="00547711"/>
    <w:rsid w:val="00551897"/>
    <w:rsid w:val="00582633"/>
    <w:rsid w:val="005839D9"/>
    <w:rsid w:val="005B2417"/>
    <w:rsid w:val="005C2368"/>
    <w:rsid w:val="005D7D2E"/>
    <w:rsid w:val="005E3113"/>
    <w:rsid w:val="0060354D"/>
    <w:rsid w:val="00611529"/>
    <w:rsid w:val="00617751"/>
    <w:rsid w:val="00673A18"/>
    <w:rsid w:val="006829E2"/>
    <w:rsid w:val="0068407B"/>
    <w:rsid w:val="00685F93"/>
    <w:rsid w:val="00695A3E"/>
    <w:rsid w:val="006C2A23"/>
    <w:rsid w:val="006F1052"/>
    <w:rsid w:val="006F2200"/>
    <w:rsid w:val="006F473D"/>
    <w:rsid w:val="00715E80"/>
    <w:rsid w:val="00730C80"/>
    <w:rsid w:val="007739FC"/>
    <w:rsid w:val="007857C0"/>
    <w:rsid w:val="00796AF7"/>
    <w:rsid w:val="007B4835"/>
    <w:rsid w:val="007C3A31"/>
    <w:rsid w:val="00830692"/>
    <w:rsid w:val="00862DDC"/>
    <w:rsid w:val="00875F32"/>
    <w:rsid w:val="008C0EB7"/>
    <w:rsid w:val="00931120"/>
    <w:rsid w:val="009374BE"/>
    <w:rsid w:val="009510CA"/>
    <w:rsid w:val="00961BAA"/>
    <w:rsid w:val="00975C9D"/>
    <w:rsid w:val="00983238"/>
    <w:rsid w:val="009B23FE"/>
    <w:rsid w:val="00A33831"/>
    <w:rsid w:val="00AD7B48"/>
    <w:rsid w:val="00B0604F"/>
    <w:rsid w:val="00B17689"/>
    <w:rsid w:val="00B277FC"/>
    <w:rsid w:val="00B93069"/>
    <w:rsid w:val="00B95A43"/>
    <w:rsid w:val="00BD5727"/>
    <w:rsid w:val="00BE511B"/>
    <w:rsid w:val="00BF090B"/>
    <w:rsid w:val="00BF186E"/>
    <w:rsid w:val="00C35DB8"/>
    <w:rsid w:val="00C51F87"/>
    <w:rsid w:val="00C72337"/>
    <w:rsid w:val="00C86B12"/>
    <w:rsid w:val="00C902A7"/>
    <w:rsid w:val="00CC74A2"/>
    <w:rsid w:val="00D05604"/>
    <w:rsid w:val="00D12302"/>
    <w:rsid w:val="00D274BD"/>
    <w:rsid w:val="00D33DCD"/>
    <w:rsid w:val="00D6763D"/>
    <w:rsid w:val="00D7752B"/>
    <w:rsid w:val="00D84DD8"/>
    <w:rsid w:val="00D91390"/>
    <w:rsid w:val="00DB4475"/>
    <w:rsid w:val="00DB5537"/>
    <w:rsid w:val="00DD0293"/>
    <w:rsid w:val="00DD4394"/>
    <w:rsid w:val="00DE38C9"/>
    <w:rsid w:val="00E15CE8"/>
    <w:rsid w:val="00E25C31"/>
    <w:rsid w:val="00E57EB4"/>
    <w:rsid w:val="00E86C44"/>
    <w:rsid w:val="00E943AF"/>
    <w:rsid w:val="00ED64C4"/>
    <w:rsid w:val="00EE020F"/>
    <w:rsid w:val="00F02530"/>
    <w:rsid w:val="00F10203"/>
    <w:rsid w:val="00F117FF"/>
    <w:rsid w:val="00F16B75"/>
    <w:rsid w:val="00F16BCA"/>
    <w:rsid w:val="00F83BCE"/>
    <w:rsid w:val="00F903DD"/>
    <w:rsid w:val="00FD1BBC"/>
    <w:rsid w:val="00FF60AA"/>
    <w:rsid w:val="0173563B"/>
    <w:rsid w:val="037650BD"/>
    <w:rsid w:val="03EB504A"/>
    <w:rsid w:val="03EC63FF"/>
    <w:rsid w:val="06132E1F"/>
    <w:rsid w:val="066C6FCD"/>
    <w:rsid w:val="08D77648"/>
    <w:rsid w:val="08E1133E"/>
    <w:rsid w:val="096B1898"/>
    <w:rsid w:val="09773B54"/>
    <w:rsid w:val="099F2025"/>
    <w:rsid w:val="0A162F95"/>
    <w:rsid w:val="0A5B6057"/>
    <w:rsid w:val="0A942F8F"/>
    <w:rsid w:val="0AA74C7A"/>
    <w:rsid w:val="0AE906E6"/>
    <w:rsid w:val="0BC96FF0"/>
    <w:rsid w:val="0BD94F1A"/>
    <w:rsid w:val="0CD8080C"/>
    <w:rsid w:val="0D74306F"/>
    <w:rsid w:val="0DB77A48"/>
    <w:rsid w:val="0F4D6993"/>
    <w:rsid w:val="0F601A19"/>
    <w:rsid w:val="0FF00FEF"/>
    <w:rsid w:val="10006719"/>
    <w:rsid w:val="108160EB"/>
    <w:rsid w:val="10C3396E"/>
    <w:rsid w:val="11241936"/>
    <w:rsid w:val="11352199"/>
    <w:rsid w:val="115451B5"/>
    <w:rsid w:val="123A47A4"/>
    <w:rsid w:val="124C7182"/>
    <w:rsid w:val="15193B15"/>
    <w:rsid w:val="15581D61"/>
    <w:rsid w:val="15584583"/>
    <w:rsid w:val="15BE5EC4"/>
    <w:rsid w:val="1614104D"/>
    <w:rsid w:val="163F05DA"/>
    <w:rsid w:val="17390A0C"/>
    <w:rsid w:val="17EE050A"/>
    <w:rsid w:val="194F6F5E"/>
    <w:rsid w:val="196A360A"/>
    <w:rsid w:val="19AB61A2"/>
    <w:rsid w:val="1A4137FC"/>
    <w:rsid w:val="1B8D5915"/>
    <w:rsid w:val="1CD06E7E"/>
    <w:rsid w:val="1CDD78C1"/>
    <w:rsid w:val="1E633A26"/>
    <w:rsid w:val="1EB06519"/>
    <w:rsid w:val="1EFA3A95"/>
    <w:rsid w:val="1F2B1F1C"/>
    <w:rsid w:val="1F43713A"/>
    <w:rsid w:val="1F623B1D"/>
    <w:rsid w:val="21A3332E"/>
    <w:rsid w:val="21DC7625"/>
    <w:rsid w:val="22075A3D"/>
    <w:rsid w:val="226123DE"/>
    <w:rsid w:val="23713D9D"/>
    <w:rsid w:val="242A14CD"/>
    <w:rsid w:val="24390400"/>
    <w:rsid w:val="24AF7A05"/>
    <w:rsid w:val="24B108F5"/>
    <w:rsid w:val="24B568E5"/>
    <w:rsid w:val="250B57A0"/>
    <w:rsid w:val="250D3A83"/>
    <w:rsid w:val="255B2AE1"/>
    <w:rsid w:val="26263565"/>
    <w:rsid w:val="26452856"/>
    <w:rsid w:val="26FE003E"/>
    <w:rsid w:val="27E14FB2"/>
    <w:rsid w:val="27EA5DAE"/>
    <w:rsid w:val="2A044088"/>
    <w:rsid w:val="2B800109"/>
    <w:rsid w:val="2D4A18E7"/>
    <w:rsid w:val="2D5D7940"/>
    <w:rsid w:val="2DF505B5"/>
    <w:rsid w:val="2EF6100B"/>
    <w:rsid w:val="2EF7784D"/>
    <w:rsid w:val="3106021B"/>
    <w:rsid w:val="32D7140C"/>
    <w:rsid w:val="32EA3B58"/>
    <w:rsid w:val="33841821"/>
    <w:rsid w:val="33902DE5"/>
    <w:rsid w:val="356279EA"/>
    <w:rsid w:val="362113E7"/>
    <w:rsid w:val="3627628E"/>
    <w:rsid w:val="367D087D"/>
    <w:rsid w:val="36AF43DE"/>
    <w:rsid w:val="36FF0CB1"/>
    <w:rsid w:val="379F0624"/>
    <w:rsid w:val="38FE5796"/>
    <w:rsid w:val="3A033549"/>
    <w:rsid w:val="3BAE3989"/>
    <w:rsid w:val="3D4307CD"/>
    <w:rsid w:val="3DA9214E"/>
    <w:rsid w:val="3DCE41F0"/>
    <w:rsid w:val="3E7F33BB"/>
    <w:rsid w:val="3EAA7D10"/>
    <w:rsid w:val="3EB676C6"/>
    <w:rsid w:val="3F8A64BB"/>
    <w:rsid w:val="404F0885"/>
    <w:rsid w:val="416C19F9"/>
    <w:rsid w:val="425F30BA"/>
    <w:rsid w:val="426E3E72"/>
    <w:rsid w:val="4332030B"/>
    <w:rsid w:val="43566DE0"/>
    <w:rsid w:val="45603D11"/>
    <w:rsid w:val="45FE6E0D"/>
    <w:rsid w:val="46462D05"/>
    <w:rsid w:val="4662784A"/>
    <w:rsid w:val="47B02A67"/>
    <w:rsid w:val="47B77378"/>
    <w:rsid w:val="47FE15B1"/>
    <w:rsid w:val="48943F06"/>
    <w:rsid w:val="499249C5"/>
    <w:rsid w:val="4A783AE0"/>
    <w:rsid w:val="4A7F4E6E"/>
    <w:rsid w:val="4AD347C5"/>
    <w:rsid w:val="4AD93E52"/>
    <w:rsid w:val="4AE66C9B"/>
    <w:rsid w:val="4D29796A"/>
    <w:rsid w:val="4D467EB4"/>
    <w:rsid w:val="4DCD3AAD"/>
    <w:rsid w:val="4E0062C6"/>
    <w:rsid w:val="4F082F58"/>
    <w:rsid w:val="4F561C0F"/>
    <w:rsid w:val="4FB1539E"/>
    <w:rsid w:val="502C11D2"/>
    <w:rsid w:val="50A218B6"/>
    <w:rsid w:val="50F00AEE"/>
    <w:rsid w:val="5163022B"/>
    <w:rsid w:val="51A056CA"/>
    <w:rsid w:val="521235B1"/>
    <w:rsid w:val="535E75EB"/>
    <w:rsid w:val="555E7D76"/>
    <w:rsid w:val="57876E4F"/>
    <w:rsid w:val="57A92386"/>
    <w:rsid w:val="58141F88"/>
    <w:rsid w:val="58BB2D3A"/>
    <w:rsid w:val="59D143DE"/>
    <w:rsid w:val="5C581D5C"/>
    <w:rsid w:val="5CF76AE6"/>
    <w:rsid w:val="5D0C4FAA"/>
    <w:rsid w:val="5FAD4EF6"/>
    <w:rsid w:val="5FBB029F"/>
    <w:rsid w:val="5FD3008D"/>
    <w:rsid w:val="60DD6848"/>
    <w:rsid w:val="613876CD"/>
    <w:rsid w:val="618E53E5"/>
    <w:rsid w:val="631A3502"/>
    <w:rsid w:val="6374747D"/>
    <w:rsid w:val="642E7202"/>
    <w:rsid w:val="668E1449"/>
    <w:rsid w:val="684C4235"/>
    <w:rsid w:val="68A0311A"/>
    <w:rsid w:val="69727C19"/>
    <w:rsid w:val="6AD05BB6"/>
    <w:rsid w:val="6B53207D"/>
    <w:rsid w:val="6B91289E"/>
    <w:rsid w:val="6BD85D34"/>
    <w:rsid w:val="6C1A00FB"/>
    <w:rsid w:val="6C5D448C"/>
    <w:rsid w:val="6C81017A"/>
    <w:rsid w:val="6D176C34"/>
    <w:rsid w:val="6D301BA0"/>
    <w:rsid w:val="6DCB223D"/>
    <w:rsid w:val="6ED27EA2"/>
    <w:rsid w:val="6EFE7A75"/>
    <w:rsid w:val="6FA36659"/>
    <w:rsid w:val="6FF769A0"/>
    <w:rsid w:val="70750678"/>
    <w:rsid w:val="708C17E3"/>
    <w:rsid w:val="71486BB5"/>
    <w:rsid w:val="71626F68"/>
    <w:rsid w:val="71BB603C"/>
    <w:rsid w:val="72E536D9"/>
    <w:rsid w:val="734A5ADB"/>
    <w:rsid w:val="74363F40"/>
    <w:rsid w:val="74463A57"/>
    <w:rsid w:val="744C2760"/>
    <w:rsid w:val="74B547F1"/>
    <w:rsid w:val="74C00DE7"/>
    <w:rsid w:val="752321D9"/>
    <w:rsid w:val="75292103"/>
    <w:rsid w:val="756D4D09"/>
    <w:rsid w:val="76D8308D"/>
    <w:rsid w:val="77212C85"/>
    <w:rsid w:val="77456248"/>
    <w:rsid w:val="77BE6489"/>
    <w:rsid w:val="78862B2E"/>
    <w:rsid w:val="791C2010"/>
    <w:rsid w:val="79C14817"/>
    <w:rsid w:val="7AD1051F"/>
    <w:rsid w:val="7C17320C"/>
    <w:rsid w:val="7C935313"/>
    <w:rsid w:val="7CDD764F"/>
    <w:rsid w:val="7D0F009B"/>
    <w:rsid w:val="7D463234"/>
    <w:rsid w:val="7E395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qFormat="1"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atLeast"/>
      <w:ind w:firstLine="200" w:firstLineChars="200"/>
      <w:jc w:val="both"/>
    </w:pPr>
    <w:rPr>
      <w:rFonts w:ascii="仿宋_GB2312" w:hAnsi="仿宋_GB2312" w:eastAsia="仿宋_GB2312" w:cs="仿宋_GB2312"/>
      <w:kern w:val="2"/>
      <w:sz w:val="32"/>
      <w:szCs w:val="22"/>
      <w:lang w:val="en-US" w:eastAsia="zh-CN" w:bidi="ar-SA"/>
    </w:rPr>
  </w:style>
  <w:style w:type="paragraph" w:styleId="3">
    <w:name w:val="heading 1"/>
    <w:basedOn w:val="1"/>
    <w:next w:val="1"/>
    <w:link w:val="29"/>
    <w:qFormat/>
    <w:uiPriority w:val="9"/>
    <w:pPr>
      <w:keepNext/>
      <w:keepLines/>
      <w:outlineLvl w:val="0"/>
    </w:pPr>
    <w:rPr>
      <w:rFonts w:eastAsia="黑体"/>
      <w:bCs/>
      <w:kern w:val="44"/>
      <w:szCs w:val="44"/>
    </w:rPr>
  </w:style>
  <w:style w:type="paragraph" w:styleId="4">
    <w:name w:val="heading 2"/>
    <w:basedOn w:val="1"/>
    <w:next w:val="1"/>
    <w:link w:val="32"/>
    <w:unhideWhenUsed/>
    <w:qFormat/>
    <w:uiPriority w:val="9"/>
    <w:pPr>
      <w:keepNext/>
      <w:keepLines/>
      <w:outlineLvl w:val="1"/>
    </w:pPr>
    <w:rPr>
      <w:rFonts w:ascii="楷体_GB2312" w:hAnsi="楷体_GB2312" w:eastAsia="楷体_GB2312" w:cs="楷体"/>
      <w:b/>
      <w:bCs/>
      <w:szCs w:val="32"/>
    </w:rPr>
  </w:style>
  <w:style w:type="paragraph" w:styleId="5">
    <w:name w:val="heading 3"/>
    <w:basedOn w:val="1"/>
    <w:next w:val="1"/>
    <w:link w:val="37"/>
    <w:unhideWhenUsed/>
    <w:qFormat/>
    <w:uiPriority w:val="9"/>
    <w:pPr>
      <w:keepNext/>
      <w:keepLines/>
      <w:outlineLvl w:val="2"/>
    </w:pPr>
    <w:rPr>
      <w:b/>
      <w:bCs/>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spacing w:line="590" w:lineRule="exact"/>
      <w:ind w:firstLine="420" w:firstLineChars="200"/>
    </w:pPr>
    <w:rPr>
      <w:rFonts w:ascii="Times New Roman" w:hAnsi="Times New Roman" w:eastAsia="仿宋_GB2312" w:cs="Times New Roman"/>
      <w:spacing w:val="6"/>
      <w:sz w:val="32"/>
      <w:szCs w:val="21"/>
    </w:rPr>
  </w:style>
  <w:style w:type="paragraph" w:styleId="6">
    <w:name w:val="table of authorities"/>
    <w:basedOn w:val="1"/>
    <w:next w:val="1"/>
    <w:unhideWhenUsed/>
    <w:qFormat/>
    <w:uiPriority w:val="0"/>
    <w:pPr>
      <w:ind w:left="200" w:leftChars="200"/>
    </w:pPr>
  </w:style>
  <w:style w:type="paragraph" w:styleId="7">
    <w:name w:val="annotation text"/>
    <w:basedOn w:val="1"/>
    <w:link w:val="35"/>
    <w:qFormat/>
    <w:uiPriority w:val="0"/>
    <w:pPr>
      <w:spacing w:line="560" w:lineRule="exact"/>
      <w:jc w:val="left"/>
    </w:pPr>
    <w:rPr>
      <w:rFonts w:hAnsi="Times New Roman" w:cs="Arial"/>
      <w:sz w:val="32"/>
    </w:rPr>
  </w:style>
  <w:style w:type="paragraph" w:styleId="8">
    <w:name w:val="Body Text"/>
    <w:basedOn w:val="1"/>
    <w:next w:val="2"/>
    <w:qFormat/>
    <w:uiPriority w:val="0"/>
    <w:pPr>
      <w:spacing w:after="120"/>
    </w:pPr>
  </w:style>
  <w:style w:type="paragraph" w:styleId="9">
    <w:name w:val="Body Text Indent"/>
    <w:basedOn w:val="1"/>
    <w:next w:val="10"/>
    <w:qFormat/>
    <w:uiPriority w:val="0"/>
    <w:pPr>
      <w:spacing w:after="120"/>
      <w:ind w:left="420" w:leftChars="200"/>
    </w:pPr>
  </w:style>
  <w:style w:type="paragraph" w:styleId="10">
    <w:name w:val="Body Text Indent 2"/>
    <w:basedOn w:val="1"/>
    <w:next w:val="11"/>
    <w:qFormat/>
    <w:uiPriority w:val="0"/>
    <w:pPr>
      <w:spacing w:after="120" w:line="480" w:lineRule="auto"/>
      <w:ind w:left="420" w:leftChars="200"/>
    </w:pPr>
  </w:style>
  <w:style w:type="paragraph" w:styleId="11">
    <w:name w:val="Body Text Indent 3"/>
    <w:basedOn w:val="1"/>
    <w:qFormat/>
    <w:uiPriority w:val="99"/>
    <w:pPr>
      <w:ind w:left="200" w:leftChars="200"/>
    </w:pPr>
    <w:rPr>
      <w:sz w:val="16"/>
      <w:szCs w:val="16"/>
    </w:rPr>
  </w:style>
  <w:style w:type="paragraph" w:styleId="12">
    <w:name w:val="Balloon Text"/>
    <w:basedOn w:val="1"/>
    <w:link w:val="36"/>
    <w:semiHidden/>
    <w:unhideWhenUsed/>
    <w:qFormat/>
    <w:uiPriority w:val="99"/>
    <w:pPr>
      <w:spacing w:line="240" w:lineRule="auto"/>
    </w:pPr>
    <w:rPr>
      <w:sz w:val="18"/>
      <w:szCs w:val="18"/>
    </w:rPr>
  </w:style>
  <w:style w:type="paragraph" w:styleId="13">
    <w:name w:val="footer"/>
    <w:basedOn w:val="1"/>
    <w:link w:val="31"/>
    <w:unhideWhenUsed/>
    <w:qFormat/>
    <w:uiPriority w:val="99"/>
    <w:pPr>
      <w:tabs>
        <w:tab w:val="center" w:pos="4153"/>
        <w:tab w:val="right" w:pos="8306"/>
      </w:tabs>
      <w:jc w:val="left"/>
    </w:pPr>
    <w:rPr>
      <w:sz w:val="18"/>
      <w:szCs w:val="18"/>
    </w:rPr>
  </w:style>
  <w:style w:type="paragraph" w:styleId="14">
    <w:name w:val="header"/>
    <w:basedOn w:val="1"/>
    <w:next w:val="1"/>
    <w:link w:val="30"/>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rPr>
      <w:rFonts w:ascii="Times New Roman" w:hAnsi="Times New Roman" w:eastAsia="宋体" w:cs="Times New Roman"/>
      <w:szCs w:val="24"/>
    </w:rPr>
  </w:style>
  <w:style w:type="paragraph" w:styleId="16">
    <w:name w:val="Subtitle"/>
    <w:basedOn w:val="1"/>
    <w:next w:val="1"/>
    <w:link w:val="34"/>
    <w:qFormat/>
    <w:uiPriority w:val="11"/>
    <w:pPr>
      <w:ind w:firstLine="0" w:firstLineChars="0"/>
      <w:jc w:val="center"/>
      <w:outlineLvl w:val="1"/>
    </w:pPr>
    <w:rPr>
      <w:rFonts w:ascii="黑体" w:hAnsi="黑体" w:eastAsia="黑体" w:cstheme="majorBidi"/>
      <w:bCs/>
      <w:kern w:val="28"/>
      <w:sz w:val="21"/>
      <w:szCs w:val="32"/>
    </w:rPr>
  </w:style>
  <w:style w:type="paragraph" w:styleId="17">
    <w:name w:val="footnote text"/>
    <w:basedOn w:val="1"/>
    <w:link w:val="38"/>
    <w:qFormat/>
    <w:uiPriority w:val="0"/>
    <w:pPr>
      <w:spacing w:line="560" w:lineRule="exact"/>
      <w:jc w:val="left"/>
    </w:pPr>
    <w:rPr>
      <w:rFonts w:hAnsi="Times New Roman" w:cs="Times New Roman"/>
      <w:spacing w:val="6"/>
      <w:sz w:val="18"/>
      <w:szCs w:val="18"/>
    </w:rPr>
  </w:style>
  <w:style w:type="paragraph" w:styleId="18">
    <w:name w:val="index 9"/>
    <w:basedOn w:val="1"/>
    <w:next w:val="1"/>
    <w:qFormat/>
    <w:uiPriority w:val="0"/>
    <w:pPr>
      <w:ind w:left="3360"/>
    </w:pPr>
  </w:style>
  <w:style w:type="paragraph" w:styleId="19">
    <w:name w:val="Normal (Web)"/>
    <w:basedOn w:val="1"/>
    <w:next w:val="18"/>
    <w:qFormat/>
    <w:uiPriority w:val="99"/>
    <w:pPr>
      <w:spacing w:before="100" w:beforeAutospacing="1" w:after="100" w:afterAutospacing="1"/>
      <w:jc w:val="left"/>
    </w:pPr>
    <w:rPr>
      <w:kern w:val="0"/>
      <w:sz w:val="24"/>
    </w:rPr>
  </w:style>
  <w:style w:type="paragraph" w:styleId="20">
    <w:name w:val="Title"/>
    <w:basedOn w:val="1"/>
    <w:next w:val="1"/>
    <w:link w:val="33"/>
    <w:qFormat/>
    <w:uiPriority w:val="10"/>
    <w:pPr>
      <w:jc w:val="center"/>
      <w:outlineLvl w:val="0"/>
    </w:pPr>
    <w:rPr>
      <w:rFonts w:asciiTheme="majorHAnsi" w:hAnsiTheme="majorHAnsi" w:cstheme="majorBidi"/>
      <w:b/>
      <w:bCs/>
      <w:szCs w:val="32"/>
    </w:rPr>
  </w:style>
  <w:style w:type="paragraph" w:styleId="21">
    <w:name w:val="Body Text First Indent 2"/>
    <w:basedOn w:val="9"/>
    <w:next w:val="13"/>
    <w:qFormat/>
    <w:uiPriority w:val="0"/>
    <w:pPr>
      <w:ind w:left="0" w:leftChars="0" w:firstLine="420"/>
    </w:pPr>
    <w:rPr>
      <w:rFonts w:ascii="仿宋_GB2312" w:hAnsi="Times New Roman" w:eastAsia="仿宋_GB2312" w:cs="仿宋_GB2312"/>
      <w:sz w:val="32"/>
      <w:szCs w:val="32"/>
    </w:rPr>
  </w:style>
  <w:style w:type="table" w:styleId="23">
    <w:name w:val="Table Grid"/>
    <w:basedOn w:val="22"/>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Emphasis"/>
    <w:qFormat/>
    <w:uiPriority w:val="0"/>
    <w:rPr>
      <w:rFonts w:ascii="Times New Roman" w:hAnsi="Times New Roman" w:eastAsia="黑体"/>
      <w:iCs/>
      <w:sz w:val="24"/>
    </w:rPr>
  </w:style>
  <w:style w:type="character" w:styleId="26">
    <w:name w:val="annotation reference"/>
    <w:basedOn w:val="24"/>
    <w:qFormat/>
    <w:uiPriority w:val="0"/>
    <w:rPr>
      <w:sz w:val="21"/>
      <w:szCs w:val="21"/>
    </w:rPr>
  </w:style>
  <w:style w:type="character" w:styleId="27">
    <w:name w:val="footnote reference"/>
    <w:basedOn w:val="24"/>
    <w:qFormat/>
    <w:uiPriority w:val="0"/>
    <w:rPr>
      <w:vertAlign w:val="superscript"/>
    </w:rPr>
  </w:style>
  <w:style w:type="paragraph" w:customStyle="1" w:styleId="28">
    <w:name w:val="表头"/>
    <w:basedOn w:val="1"/>
    <w:qFormat/>
    <w:uiPriority w:val="0"/>
    <w:pPr>
      <w:ind w:firstLine="0" w:firstLineChars="0"/>
      <w:jc w:val="center"/>
    </w:pPr>
    <w:rPr>
      <w:rFonts w:ascii="黑体" w:hAnsi="黑体" w:eastAsia="黑体" w:cs="Times New Roman"/>
      <w:sz w:val="21"/>
      <w:szCs w:val="24"/>
    </w:rPr>
  </w:style>
  <w:style w:type="character" w:customStyle="1" w:styleId="29">
    <w:name w:val="标题 1 Char"/>
    <w:basedOn w:val="24"/>
    <w:link w:val="3"/>
    <w:qFormat/>
    <w:uiPriority w:val="9"/>
    <w:rPr>
      <w:rFonts w:ascii="仿宋" w:hAnsi="仿宋" w:eastAsia="黑体"/>
      <w:bCs/>
      <w:kern w:val="44"/>
      <w:sz w:val="28"/>
      <w:szCs w:val="44"/>
    </w:rPr>
  </w:style>
  <w:style w:type="character" w:customStyle="1" w:styleId="30">
    <w:name w:val="页眉 Char"/>
    <w:basedOn w:val="24"/>
    <w:link w:val="14"/>
    <w:qFormat/>
    <w:uiPriority w:val="99"/>
    <w:rPr>
      <w:sz w:val="18"/>
      <w:szCs w:val="18"/>
    </w:rPr>
  </w:style>
  <w:style w:type="character" w:customStyle="1" w:styleId="31">
    <w:name w:val="页脚 Char"/>
    <w:basedOn w:val="24"/>
    <w:link w:val="13"/>
    <w:qFormat/>
    <w:uiPriority w:val="99"/>
    <w:rPr>
      <w:sz w:val="18"/>
      <w:szCs w:val="18"/>
    </w:rPr>
  </w:style>
  <w:style w:type="character" w:customStyle="1" w:styleId="32">
    <w:name w:val="标题 2 Char"/>
    <w:basedOn w:val="24"/>
    <w:link w:val="4"/>
    <w:qFormat/>
    <w:uiPriority w:val="9"/>
    <w:rPr>
      <w:rFonts w:ascii="楷体_GB2312" w:hAnsi="楷体_GB2312" w:eastAsia="楷体_GB2312" w:cs="楷体"/>
      <w:b/>
      <w:bCs/>
      <w:sz w:val="28"/>
      <w:szCs w:val="32"/>
    </w:rPr>
  </w:style>
  <w:style w:type="character" w:customStyle="1" w:styleId="33">
    <w:name w:val="标题 Char"/>
    <w:basedOn w:val="24"/>
    <w:link w:val="20"/>
    <w:qFormat/>
    <w:uiPriority w:val="10"/>
    <w:rPr>
      <w:rFonts w:eastAsia="仿宋" w:asciiTheme="majorHAnsi" w:hAnsiTheme="majorHAnsi" w:cstheme="majorBidi"/>
      <w:b/>
      <w:bCs/>
      <w:sz w:val="28"/>
      <w:szCs w:val="32"/>
    </w:rPr>
  </w:style>
  <w:style w:type="character" w:customStyle="1" w:styleId="34">
    <w:name w:val="副标题 Char"/>
    <w:basedOn w:val="24"/>
    <w:link w:val="16"/>
    <w:qFormat/>
    <w:uiPriority w:val="11"/>
    <w:rPr>
      <w:rFonts w:ascii="黑体" w:hAnsi="黑体" w:eastAsia="黑体" w:cstheme="majorBidi"/>
      <w:bCs/>
      <w:kern w:val="28"/>
      <w:szCs w:val="32"/>
    </w:rPr>
  </w:style>
  <w:style w:type="character" w:customStyle="1" w:styleId="35">
    <w:name w:val="批注文字 Char"/>
    <w:basedOn w:val="24"/>
    <w:link w:val="7"/>
    <w:qFormat/>
    <w:uiPriority w:val="0"/>
    <w:rPr>
      <w:rFonts w:ascii="仿宋" w:hAnsi="Times New Roman" w:eastAsia="仿宋" w:cs="Arial"/>
      <w:sz w:val="32"/>
    </w:rPr>
  </w:style>
  <w:style w:type="character" w:customStyle="1" w:styleId="36">
    <w:name w:val="批注框文本 Char"/>
    <w:basedOn w:val="24"/>
    <w:link w:val="12"/>
    <w:semiHidden/>
    <w:qFormat/>
    <w:uiPriority w:val="99"/>
    <w:rPr>
      <w:rFonts w:ascii="仿宋" w:hAnsi="仿宋" w:eastAsia="仿宋"/>
      <w:sz w:val="18"/>
      <w:szCs w:val="18"/>
    </w:rPr>
  </w:style>
  <w:style w:type="character" w:customStyle="1" w:styleId="37">
    <w:name w:val="标题 3 Char"/>
    <w:basedOn w:val="24"/>
    <w:link w:val="5"/>
    <w:qFormat/>
    <w:uiPriority w:val="9"/>
    <w:rPr>
      <w:rFonts w:ascii="仿宋" w:hAnsi="仿宋" w:eastAsia="仿宋"/>
      <w:b/>
      <w:bCs/>
      <w:sz w:val="28"/>
      <w:szCs w:val="32"/>
    </w:rPr>
  </w:style>
  <w:style w:type="character" w:customStyle="1" w:styleId="38">
    <w:name w:val="脚注文本 Char"/>
    <w:basedOn w:val="24"/>
    <w:link w:val="17"/>
    <w:qFormat/>
    <w:uiPriority w:val="0"/>
    <w:rPr>
      <w:rFonts w:ascii="仿宋" w:hAnsi="Times New Roman" w:eastAsia="仿宋" w:cs="Times New Roman"/>
      <w:spacing w:val="6"/>
      <w:sz w:val="18"/>
      <w:szCs w:val="18"/>
    </w:rPr>
  </w:style>
  <w:style w:type="paragraph" w:styleId="39">
    <w:name w:val="No Spacing"/>
    <w:qFormat/>
    <w:uiPriority w:val="0"/>
    <w:pPr>
      <w:widowControl w:val="0"/>
      <w:adjustRightInd w:val="0"/>
      <w:snapToGrid w:val="0"/>
      <w:spacing w:line="560" w:lineRule="exact"/>
      <w:jc w:val="center"/>
    </w:pPr>
    <w:rPr>
      <w:rFonts w:ascii="黑体" w:hAnsi="Times New Roman" w:eastAsia="黑体" w:cs="Arial"/>
      <w:kern w:val="2"/>
      <w:sz w:val="21"/>
      <w:szCs w:val="22"/>
      <w:lang w:val="en-US" w:eastAsia="zh-CN" w:bidi="ar-SA"/>
    </w:rPr>
  </w:style>
  <w:style w:type="table" w:customStyle="1" w:styleId="40">
    <w:name w:val="网格型131"/>
    <w:basedOn w:val="2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font41"/>
    <w:basedOn w:val="24"/>
    <w:qFormat/>
    <w:uiPriority w:val="0"/>
    <w:rPr>
      <w:rFonts w:ascii="仿宋_GB2312" w:eastAsia="仿宋_GB2312" w:cs="仿宋_GB2312"/>
      <w:color w:val="000000"/>
      <w:sz w:val="24"/>
      <w:szCs w:val="24"/>
      <w:u w:val="none"/>
    </w:rPr>
  </w:style>
  <w:style w:type="character" w:customStyle="1" w:styleId="42">
    <w:name w:val="报告正文 Char"/>
    <w:link w:val="43"/>
    <w:qFormat/>
    <w:uiPriority w:val="0"/>
  </w:style>
  <w:style w:type="paragraph" w:customStyle="1" w:styleId="43">
    <w:name w:val="报告正文"/>
    <w:basedOn w:val="1"/>
    <w:next w:val="9"/>
    <w:link w:val="42"/>
    <w:qFormat/>
    <w:uiPriority w:val="0"/>
    <w:pPr>
      <w:ind w:firstLine="643"/>
    </w:pPr>
  </w:style>
  <w:style w:type="paragraph" w:customStyle="1" w:styleId="44">
    <w:name w:val="WPSOffice手动目录 1"/>
    <w:qFormat/>
    <w:uiPriority w:val="0"/>
    <w:rPr>
      <w:rFonts w:ascii="Times New Roman" w:hAnsi="Times New Roman" w:eastAsia="宋体" w:cs="Times New Roman"/>
      <w:lang w:val="en-US" w:eastAsia="zh-CN" w:bidi="ar-SA"/>
    </w:rPr>
  </w:style>
  <w:style w:type="table" w:customStyle="1" w:styleId="45">
    <w:name w:val="网格型11"/>
    <w:basedOn w:val="22"/>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
    <w:name w:val="网格型18"/>
    <w:basedOn w:val="22"/>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7">
    <w:name w:val="列出段落1"/>
    <w:basedOn w:val="1"/>
    <w:qFormat/>
    <w:uiPriority w:val="0"/>
    <w:pPr>
      <w:ind w:firstLine="420" w:firstLineChars="200"/>
    </w:pPr>
  </w:style>
  <w:style w:type="paragraph" w:customStyle="1" w:styleId="48">
    <w:name w:val="WPSOffice手动目录 2"/>
    <w:qFormat/>
    <w:uiPriority w:val="0"/>
    <w:pPr>
      <w:ind w:leftChars="200"/>
    </w:pPr>
    <w:rPr>
      <w:rFonts w:ascii="Times New Roman" w:hAnsi="Times New Roman" w:eastAsia="宋体" w:cs="Times New Roman"/>
      <w:sz w:val="20"/>
      <w:szCs w:val="20"/>
    </w:rPr>
  </w:style>
  <w:style w:type="table" w:customStyle="1" w:styleId="49">
    <w:name w:val="网格型5"/>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2AAA1E-D02F-4C34-B77D-0193089537CB}">
  <ds:schemaRefs/>
</ds:datastoreItem>
</file>

<file path=docProps/app.xml><?xml version="1.0" encoding="utf-8"?>
<Properties xmlns="http://schemas.openxmlformats.org/officeDocument/2006/extended-properties" xmlns:vt="http://schemas.openxmlformats.org/officeDocument/2006/docPropsVTypes">
  <Template>Normal</Template>
  <Pages>76</Pages>
  <Words>40878</Words>
  <Characters>44328</Characters>
  <Lines>39</Lines>
  <Paragraphs>11</Paragraphs>
  <TotalTime>6</TotalTime>
  <ScaleCrop>false</ScaleCrop>
  <LinksUpToDate>false</LinksUpToDate>
  <CharactersWithSpaces>45107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2022-08-10T07:51:00Z</dcterms:created>
  <dc:creator>王雅慧</dc:creator>
  <cp:lastModifiedBy>Administrator</cp:lastModifiedBy>
  <dcterms:modified xsi:type="dcterms:W3CDTF">2023-03-27T02:35:24Z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25B242C8424643F78019B77F53EB8BAA</vt:lpwstr>
  </property>
</Properties>
</file>