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/>
          <w:lang w:val="en-US" w:eastAsia="zh-CN"/>
        </w:rPr>
      </w:pPr>
      <w:bookmarkStart w:id="0" w:name="_Toc17223"/>
    </w:p>
    <w:p>
      <w:pPr>
        <w:pStyle w:val="2"/>
        <w:rPr>
          <w:rFonts w:hint="eastAsia"/>
          <w:lang w:val="en-US" w:eastAsia="zh-CN"/>
        </w:rPr>
      </w:pPr>
    </w:p>
    <w:p>
      <w:pPr>
        <w:adjustRightInd/>
        <w:snapToGrid/>
        <w:spacing w:line="240" w:lineRule="auto"/>
        <w:ind w:firstLine="0" w:firstLineChars="0"/>
        <w:jc w:val="center"/>
        <w:outlineLvl w:val="0"/>
        <w:rPr>
          <w:rFonts w:hint="eastAsia" w:ascii="方正小标宋简体" w:hAnsi="黑体" w:eastAsia="方正小标宋简体" w:cs="宋体"/>
          <w:spacing w:val="0"/>
          <w:kern w:val="0"/>
          <w:sz w:val="44"/>
          <w:szCs w:val="44"/>
          <w:lang w:val="en-US" w:eastAsia="zh-CN"/>
        </w:rPr>
      </w:pPr>
      <w:bookmarkStart w:id="1" w:name="_Toc3784"/>
      <w:r>
        <w:rPr>
          <w:rFonts w:hint="eastAsia" w:ascii="方正小标宋简体" w:hAnsi="黑体" w:eastAsia="方正小标宋简体" w:cs="宋体"/>
          <w:spacing w:val="0"/>
          <w:kern w:val="0"/>
          <w:sz w:val="44"/>
          <w:szCs w:val="44"/>
          <w:lang w:val="en-US" w:eastAsia="zh-CN"/>
        </w:rPr>
        <w:t>绥阳县水务</w:t>
      </w:r>
      <w:r>
        <w:rPr>
          <w:rFonts w:hint="eastAsia" w:ascii="方正小标宋简体" w:hAnsi="黑体" w:eastAsia="方正小标宋简体" w:cs="宋体"/>
          <w:spacing w:val="0"/>
          <w:kern w:val="0"/>
          <w:sz w:val="44"/>
          <w:szCs w:val="44"/>
        </w:rPr>
        <w:t>局</w:t>
      </w:r>
      <w:r>
        <w:rPr>
          <w:rFonts w:hint="eastAsia" w:ascii="方正小标宋简体" w:hAnsi="黑体" w:eastAsia="方正小标宋简体" w:cs="宋体"/>
          <w:spacing w:val="0"/>
          <w:kern w:val="0"/>
          <w:sz w:val="44"/>
          <w:szCs w:val="44"/>
          <w:lang w:val="en-US" w:eastAsia="zh-CN"/>
        </w:rPr>
        <w:t>水利工程运行服务中心</w:t>
      </w:r>
      <w:bookmarkEnd w:id="0"/>
      <w:bookmarkEnd w:id="1"/>
    </w:p>
    <w:p>
      <w:pPr>
        <w:spacing w:line="240" w:lineRule="auto"/>
        <w:ind w:firstLine="0" w:firstLineChars="0"/>
        <w:jc w:val="center"/>
        <w:rPr>
          <w:rFonts w:hint="default" w:ascii="方正小标宋简体" w:hAnsi="黑体" w:eastAsia="方正小标宋简体" w:cs="宋体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 w:cs="宋体"/>
          <w:spacing w:val="0"/>
          <w:kern w:val="0"/>
          <w:sz w:val="44"/>
          <w:szCs w:val="44"/>
          <w:lang w:val="en-US" w:eastAsia="zh-CN"/>
        </w:rPr>
        <w:t>（后水河水库管理所）经费</w:t>
      </w:r>
    </w:p>
    <w:p>
      <w:pPr>
        <w:bidi w:val="0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240" w:lineRule="auto"/>
        <w:ind w:firstLine="0" w:firstLineChars="0"/>
        <w:jc w:val="center"/>
        <w:rPr>
          <w:rFonts w:ascii="方正小标宋简体" w:hAnsi="黑体" w:eastAsia="方正小标宋简体" w:cs="宋体"/>
          <w:spacing w:val="0"/>
          <w:kern w:val="0"/>
          <w:sz w:val="72"/>
          <w:szCs w:val="72"/>
        </w:rPr>
      </w:pPr>
      <w:r>
        <w:rPr>
          <w:rFonts w:hint="eastAsia" w:ascii="方正小标宋简体" w:hAnsi="黑体" w:eastAsia="方正小标宋简体" w:cs="宋体"/>
          <w:spacing w:val="0"/>
          <w:kern w:val="0"/>
          <w:sz w:val="72"/>
          <w:szCs w:val="72"/>
        </w:rPr>
        <w:t>绩效评价报告</w:t>
      </w:r>
    </w:p>
    <w:p>
      <w:pPr>
        <w:bidi w:val="0"/>
      </w:pPr>
    </w:p>
    <w:p>
      <w:pPr>
        <w:bidi w:val="0"/>
      </w:pPr>
    </w:p>
    <w:p>
      <w:pPr>
        <w:pStyle w:val="2"/>
      </w:pPr>
    </w:p>
    <w:p/>
    <w:p>
      <w:pPr>
        <w:bidi w:val="0"/>
      </w:pPr>
    </w:p>
    <w:p>
      <w:pPr>
        <w:spacing w:line="400" w:lineRule="exact"/>
        <w:ind w:firstLine="2520" w:firstLineChars="1050"/>
        <w:jc w:val="left"/>
        <w:rPr>
          <w:rFonts w:hint="default" w:ascii="黑体" w:hAnsi="黑体" w:eastAsia="黑体" w:cs="宋体"/>
          <w:spacing w:val="0"/>
          <w:kern w:val="0"/>
          <w:sz w:val="24"/>
          <w:szCs w:val="24"/>
          <w:lang w:val="en-US"/>
        </w:rPr>
      </w:pPr>
      <w:r>
        <w:rPr>
          <w:rFonts w:hint="eastAsia" w:ascii="黑体" w:hAnsi="黑体" w:eastAsia="黑体" w:cs="宋体"/>
          <w:spacing w:val="0"/>
          <w:kern w:val="0"/>
          <w:sz w:val="24"/>
          <w:szCs w:val="24"/>
        </w:rPr>
        <w:t>报告编号：QCJ-PJ-</w:t>
      </w:r>
      <w:r>
        <w:rPr>
          <w:rFonts w:hint="eastAsia" w:ascii="黑体" w:hAnsi="黑体" w:eastAsia="黑体" w:cs="宋体"/>
          <w:spacing w:val="0"/>
          <w:kern w:val="0"/>
          <w:sz w:val="24"/>
          <w:szCs w:val="24"/>
          <w:lang w:eastAsia="zh-CN"/>
        </w:rPr>
        <w:t>20</w:t>
      </w:r>
      <w:r>
        <w:rPr>
          <w:rFonts w:hint="eastAsia" w:ascii="黑体" w:hAnsi="黑体" w:eastAsia="黑体" w:cs="宋体"/>
          <w:spacing w:val="0"/>
          <w:kern w:val="0"/>
          <w:sz w:val="24"/>
          <w:szCs w:val="24"/>
          <w:lang w:val="en-US" w:eastAsia="zh-CN"/>
        </w:rPr>
        <w:t>22</w:t>
      </w:r>
      <w:r>
        <w:rPr>
          <w:rFonts w:hint="eastAsia" w:ascii="黑体" w:hAnsi="黑体" w:eastAsia="黑体" w:cs="宋体"/>
          <w:spacing w:val="0"/>
          <w:kern w:val="0"/>
          <w:sz w:val="24"/>
          <w:szCs w:val="24"/>
        </w:rPr>
        <w:t>-</w:t>
      </w:r>
      <w:r>
        <w:rPr>
          <w:rFonts w:hint="eastAsia" w:ascii="黑体" w:hAnsi="黑体" w:eastAsia="黑体" w:cs="宋体"/>
          <w:spacing w:val="0"/>
          <w:kern w:val="0"/>
          <w:sz w:val="24"/>
          <w:szCs w:val="24"/>
          <w:lang w:val="en-US" w:eastAsia="zh-CN"/>
        </w:rPr>
        <w:t>0912</w:t>
      </w:r>
    </w:p>
    <w:p>
      <w:pPr>
        <w:spacing w:line="400" w:lineRule="exact"/>
        <w:ind w:firstLine="2520" w:firstLineChars="1050"/>
        <w:jc w:val="left"/>
        <w:rPr>
          <w:rFonts w:hint="default" w:ascii="黑体" w:hAnsi="黑体" w:eastAsia="黑体" w:cs="宋体"/>
          <w:spacing w:val="0"/>
          <w:ker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宋体"/>
          <w:spacing w:val="0"/>
          <w:kern w:val="0"/>
          <w:sz w:val="24"/>
          <w:szCs w:val="24"/>
        </w:rPr>
        <w:t>委托单位：</w:t>
      </w:r>
      <w:r>
        <w:rPr>
          <w:rFonts w:hint="eastAsia" w:ascii="黑体" w:hAnsi="黑体" w:eastAsia="黑体" w:cs="宋体"/>
          <w:spacing w:val="0"/>
          <w:kern w:val="0"/>
          <w:sz w:val="24"/>
          <w:szCs w:val="24"/>
          <w:lang w:val="en-US" w:eastAsia="zh-CN"/>
        </w:rPr>
        <w:t>绥阳县财政局</w:t>
      </w:r>
    </w:p>
    <w:p>
      <w:pPr>
        <w:spacing w:line="400" w:lineRule="exact"/>
        <w:ind w:firstLine="2520" w:firstLineChars="1050"/>
        <w:jc w:val="left"/>
        <w:rPr>
          <w:rFonts w:hint="default" w:ascii="黑体" w:hAnsi="黑体" w:eastAsia="黑体" w:cs="宋体"/>
          <w:spacing w:val="0"/>
          <w:ker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宋体"/>
          <w:spacing w:val="0"/>
          <w:kern w:val="0"/>
          <w:sz w:val="24"/>
          <w:szCs w:val="24"/>
        </w:rPr>
        <w:t>评价机构：</w:t>
      </w:r>
      <w:r>
        <w:rPr>
          <w:rFonts w:hint="eastAsia" w:ascii="黑体" w:hAnsi="黑体" w:eastAsia="黑体" w:cs="宋体"/>
          <w:spacing w:val="0"/>
          <w:kern w:val="0"/>
          <w:sz w:val="24"/>
          <w:szCs w:val="24"/>
          <w:lang w:val="en-US" w:eastAsia="zh-CN"/>
        </w:rPr>
        <w:t>广州业越管理咨询有限公司</w:t>
      </w:r>
    </w:p>
    <w:p>
      <w:pPr>
        <w:spacing w:line="400" w:lineRule="exact"/>
        <w:ind w:firstLine="2520" w:firstLineChars="1050"/>
        <w:jc w:val="left"/>
        <w:rPr>
          <w:rFonts w:ascii="黑体" w:hAnsi="黑体" w:eastAsia="黑体" w:cs="宋体"/>
          <w:spacing w:val="0"/>
          <w:kern w:val="0"/>
          <w:sz w:val="24"/>
          <w:szCs w:val="24"/>
        </w:rPr>
      </w:pPr>
      <w:r>
        <w:rPr>
          <w:rFonts w:hint="eastAsia" w:ascii="黑体" w:hAnsi="黑体" w:eastAsia="黑体" w:cs="宋体"/>
          <w:spacing w:val="0"/>
          <w:kern w:val="0"/>
          <w:sz w:val="24"/>
          <w:szCs w:val="24"/>
        </w:rPr>
        <w:t>报告时间：</w:t>
      </w:r>
      <w:r>
        <w:rPr>
          <w:rFonts w:hint="eastAsia" w:ascii="黑体" w:hAnsi="黑体" w:eastAsia="黑体" w:cs="宋体"/>
          <w:spacing w:val="0"/>
          <w:kern w:val="0"/>
          <w:sz w:val="24"/>
          <w:szCs w:val="24"/>
          <w:lang w:eastAsia="zh-CN"/>
        </w:rPr>
        <w:t>20</w:t>
      </w:r>
      <w:r>
        <w:rPr>
          <w:rFonts w:hint="eastAsia" w:ascii="黑体" w:hAnsi="黑体" w:eastAsia="黑体" w:cs="宋体"/>
          <w:spacing w:val="0"/>
          <w:kern w:val="0"/>
          <w:sz w:val="24"/>
          <w:szCs w:val="24"/>
          <w:lang w:val="en-US" w:eastAsia="zh-CN"/>
        </w:rPr>
        <w:t>22</w:t>
      </w:r>
      <w:r>
        <w:rPr>
          <w:rFonts w:hint="eastAsia" w:ascii="黑体" w:hAnsi="黑体" w:eastAsia="黑体" w:cs="宋体"/>
          <w:spacing w:val="0"/>
          <w:kern w:val="0"/>
          <w:sz w:val="24"/>
          <w:szCs w:val="24"/>
        </w:rPr>
        <w:t>年</w:t>
      </w:r>
      <w:r>
        <w:rPr>
          <w:rFonts w:hint="eastAsia" w:ascii="黑体" w:hAnsi="黑体" w:eastAsia="黑体" w:cs="宋体"/>
          <w:spacing w:val="0"/>
          <w:kern w:val="0"/>
          <w:sz w:val="24"/>
          <w:szCs w:val="24"/>
          <w:lang w:val="en-US" w:eastAsia="zh-CN"/>
        </w:rPr>
        <w:t>10</w:t>
      </w:r>
      <w:r>
        <w:rPr>
          <w:rFonts w:hint="eastAsia" w:ascii="黑体" w:hAnsi="黑体" w:eastAsia="黑体" w:cs="宋体"/>
          <w:spacing w:val="0"/>
          <w:kern w:val="0"/>
          <w:sz w:val="24"/>
          <w:szCs w:val="24"/>
        </w:rPr>
        <w:t>月</w:t>
      </w:r>
      <w:r>
        <w:rPr>
          <w:rFonts w:hint="eastAsia" w:ascii="黑体" w:hAnsi="黑体" w:eastAsia="黑体" w:cs="宋体"/>
          <w:spacing w:val="0"/>
          <w:kern w:val="0"/>
          <w:sz w:val="24"/>
          <w:szCs w:val="24"/>
          <w:lang w:val="en-US" w:eastAsia="zh-CN"/>
        </w:rPr>
        <w:t>15</w:t>
      </w:r>
      <w:r>
        <w:rPr>
          <w:rFonts w:hint="eastAsia" w:ascii="黑体" w:hAnsi="黑体" w:eastAsia="黑体" w:cs="宋体"/>
          <w:spacing w:val="0"/>
          <w:kern w:val="0"/>
          <w:sz w:val="24"/>
          <w:szCs w:val="24"/>
        </w:rPr>
        <w:t>日</w:t>
      </w:r>
    </w:p>
    <w:p>
      <w:pPr>
        <w:rPr>
          <w:rFonts w:hint="eastAsia" w:ascii="方正小标宋简体" w:hAnsi="黑体" w:eastAsia="方正小标宋简体" w:cs="宋体"/>
          <w:sz w:val="44"/>
          <w:szCs w:val="44"/>
          <w:lang w:val="en-US" w:eastAsia="zh-CN"/>
        </w:rPr>
      </w:pPr>
    </w:p>
    <w:p>
      <w:pPr>
        <w:widowControl/>
        <w:spacing w:line="240" w:lineRule="auto"/>
        <w:ind w:firstLine="0" w:firstLineChars="0"/>
        <w:jc w:val="left"/>
        <w:textAlignment w:val="center"/>
        <w:rPr>
          <w:rFonts w:hint="eastAsia" w:ascii="黑体" w:hAnsi="宋体" w:eastAsia="黑体" w:cs="黑体"/>
          <w:color w:val="000000"/>
          <w:spacing w:val="0"/>
          <w:kern w:val="0"/>
          <w:sz w:val="24"/>
        </w:rPr>
        <w:sectPr>
          <w:pgSz w:w="11906" w:h="16838"/>
          <w:pgMar w:top="1984" w:right="1474" w:bottom="1928" w:left="1474" w:header="851" w:footer="1474" w:gutter="0"/>
          <w:pgNumType w:fmt="upperRoman"/>
          <w:cols w:space="425" w:num="1"/>
          <w:docGrid w:type="lines" w:linePitch="312" w:charSpace="0"/>
        </w:sectPr>
      </w:pPr>
    </w:p>
    <w:tbl>
      <w:tblPr>
        <w:tblStyle w:val="15"/>
        <w:tblpPr w:leftFromText="180" w:rightFromText="180" w:vertAnchor="text" w:horzAnchor="margin" w:tblpY="-77"/>
        <w:tblOverlap w:val="never"/>
        <w:tblW w:w="898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1"/>
        <w:gridCol w:w="954"/>
        <w:gridCol w:w="38"/>
        <w:gridCol w:w="426"/>
        <w:gridCol w:w="708"/>
        <w:gridCol w:w="851"/>
        <w:gridCol w:w="223"/>
        <w:gridCol w:w="625"/>
        <w:gridCol w:w="1278"/>
        <w:gridCol w:w="343"/>
        <w:gridCol w:w="994"/>
        <w:gridCol w:w="125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8983" w:type="dxa"/>
            <w:gridSpan w:val="12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4"/>
              </w:rPr>
              <w:t>评价分值：</w:t>
            </w: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4"/>
                <w:lang w:val="en-US" w:eastAsia="zh-CN"/>
              </w:rPr>
              <w:t>88.42</w:t>
            </w:r>
            <w:r>
              <w:rPr>
                <w:rFonts w:hint="eastAsia" w:ascii="仿宋_GB2312" w:hAnsi="宋体" w:cs="仿宋_GB2312"/>
                <w:color w:val="000000"/>
                <w:spacing w:val="0"/>
                <w:sz w:val="24"/>
                <w:szCs w:val="24"/>
                <w:u w:val="none"/>
              </w:rPr>
              <w:t xml:space="preserve">      </w:t>
            </w: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4"/>
              </w:rPr>
              <w:t>评价等级：</w:t>
            </w: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4"/>
                <w:lang w:val="en-US" w:eastAsia="zh-CN"/>
              </w:rPr>
              <w:t>良</w:t>
            </w:r>
            <w:r>
              <w:rPr>
                <w:rFonts w:ascii="黑体" w:hAnsi="宋体" w:eastAsia="黑体" w:cs="黑体"/>
                <w:color w:val="000000"/>
                <w:spacing w:val="0"/>
                <w:sz w:val="24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983" w:type="dxa"/>
            <w:gridSpan w:val="12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pacing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pacing w:val="0"/>
                <w:kern w:val="0"/>
                <w:sz w:val="36"/>
                <w:szCs w:val="36"/>
              </w:rPr>
              <w:t>概   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983" w:type="dxa"/>
            <w:gridSpan w:val="12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ascii="黑体" w:hAnsi="黑体" w:eastAsia="黑体" w:cs="仿宋_GB2312"/>
                <w:color w:val="000000"/>
                <w:spacing w:val="0"/>
                <w:sz w:val="22"/>
              </w:rPr>
            </w:pPr>
            <w:r>
              <w:rPr>
                <w:rFonts w:hint="eastAsia" w:ascii="黑体" w:hAnsi="黑体" w:eastAsia="黑体" w:cs="仿宋_GB2312"/>
                <w:color w:val="000000"/>
                <w:spacing w:val="0"/>
                <w:kern w:val="0"/>
                <w:sz w:val="22"/>
              </w:rPr>
              <w:t>评价机构全称（盖章）：                                        单位：万元、类、个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10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0"/>
                <w:sz w:val="20"/>
                <w:szCs w:val="20"/>
                <w:lang w:eastAsia="zh-CN"/>
              </w:rPr>
              <w:t>绥阳县水务局水利工程运行服务中心（后水河水库管理所）经费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评价年度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仿宋_GB2312"/>
                <w:color w:val="000000"/>
                <w:spacing w:val="0"/>
                <w:sz w:val="20"/>
                <w:szCs w:val="20"/>
                <w:lang w:val="en-US" w:eastAsia="zh-CN"/>
              </w:rPr>
              <w:t>2021年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财政主管处室</w:t>
            </w:r>
          </w:p>
        </w:tc>
        <w:tc>
          <w:tcPr>
            <w:tcW w:w="29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仿宋_GB2312"/>
                <w:color w:val="000000"/>
                <w:spacing w:val="0"/>
                <w:sz w:val="20"/>
                <w:szCs w:val="20"/>
                <w:lang w:val="en-US" w:eastAsia="zh-CN"/>
              </w:rPr>
              <w:t>绩效评估股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联系人及联系方式</w:t>
            </w:r>
          </w:p>
        </w:tc>
        <w:tc>
          <w:tcPr>
            <w:tcW w:w="25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杨开良13885289268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9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hAnsi="宋体" w:cs="仿宋_GB2312"/>
                <w:color w:val="000000"/>
                <w:spacing w:val="0"/>
                <w:sz w:val="20"/>
                <w:szCs w:val="20"/>
                <w:lang w:val="en-US" w:eastAsia="zh-CN"/>
              </w:rPr>
              <w:t>财政</w:t>
            </w:r>
            <w:r>
              <w:rPr>
                <w:rFonts w:hint="eastAsia" w:ascii="仿宋_GB2312" w:hAnsi="宋体" w:eastAsia="仿宋_GB2312" w:cs="仿宋_GB2312"/>
                <w:color w:val="000000"/>
                <w:spacing w:val="0"/>
                <w:sz w:val="20"/>
                <w:szCs w:val="20"/>
              </w:rPr>
              <w:t>部门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联系人及联系方式</w:t>
            </w:r>
          </w:p>
        </w:tc>
        <w:tc>
          <w:tcPr>
            <w:tcW w:w="25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0"/>
                <w:sz w:val="20"/>
                <w:szCs w:val="20"/>
              </w:rPr>
              <w:t>XXX 1390851XXXX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自评方式</w:t>
            </w: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自评分值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自评等级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pacing w:val="0"/>
                <w:kern w:val="0"/>
                <w:sz w:val="20"/>
                <w:szCs w:val="20"/>
              </w:rPr>
              <w:t>各级资金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pacing w:val="0"/>
                <w:kern w:val="0"/>
                <w:sz w:val="20"/>
                <w:szCs w:val="20"/>
              </w:rPr>
              <w:t>投入总数</w:t>
            </w: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仿宋_GB2312"/>
                <w:color w:val="000000"/>
                <w:spacing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pacing w:val="0"/>
                <w:kern w:val="0"/>
                <w:sz w:val="20"/>
                <w:szCs w:val="20"/>
                <w:lang w:bidi="ar"/>
              </w:rPr>
              <w:t>抽查资金总数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仿宋_GB2312"/>
                <w:color w:val="000000"/>
                <w:spacing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pacing w:val="0"/>
                <w:kern w:val="0"/>
                <w:sz w:val="20"/>
                <w:szCs w:val="20"/>
                <w:lang w:bidi="ar"/>
              </w:rPr>
              <w:t>资金抽查占比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pacing w:val="0"/>
                <w:kern w:val="0"/>
                <w:sz w:val="20"/>
                <w:szCs w:val="20"/>
                <w:lang w:val="en-US" w:eastAsia="zh-CN"/>
              </w:rPr>
              <w:t>县级</w:t>
            </w:r>
            <w:r>
              <w:rPr>
                <w:rFonts w:hint="eastAsia" w:ascii="黑体" w:hAnsi="宋体" w:eastAsia="黑体" w:cs="黑体"/>
                <w:spacing w:val="0"/>
                <w:kern w:val="0"/>
                <w:sz w:val="20"/>
                <w:szCs w:val="20"/>
              </w:rPr>
              <w:t>财政资金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pacing w:val="0"/>
                <w:kern w:val="0"/>
                <w:sz w:val="20"/>
                <w:szCs w:val="20"/>
              </w:rPr>
              <w:t>拨付数</w:t>
            </w: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仿宋_GB2312"/>
                <w:color w:val="000000"/>
                <w:spacing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pacing w:val="0"/>
                <w:kern w:val="0"/>
                <w:sz w:val="20"/>
                <w:szCs w:val="20"/>
                <w:lang w:val="en-US" w:eastAsia="zh-CN" w:bidi="ar"/>
              </w:rPr>
              <w:t>县</w:t>
            </w:r>
            <w:r>
              <w:rPr>
                <w:rFonts w:hint="eastAsia" w:ascii="黑体" w:hAnsi="宋体" w:eastAsia="黑体" w:cs="黑体"/>
                <w:spacing w:val="0"/>
                <w:kern w:val="0"/>
                <w:sz w:val="20"/>
                <w:szCs w:val="20"/>
                <w:lang w:bidi="ar"/>
              </w:rPr>
              <w:t>级财政资金抽查数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仿宋_GB2312"/>
                <w:color w:val="000000"/>
                <w:spacing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pacing w:val="0"/>
                <w:kern w:val="0"/>
                <w:sz w:val="20"/>
                <w:szCs w:val="20"/>
                <w:lang w:val="en-US" w:eastAsia="zh-CN" w:bidi="ar"/>
              </w:rPr>
              <w:t>县</w:t>
            </w:r>
            <w:r>
              <w:rPr>
                <w:rFonts w:hint="eastAsia" w:ascii="黑体" w:hAnsi="宋体" w:eastAsia="黑体" w:cs="黑体"/>
                <w:spacing w:val="0"/>
                <w:kern w:val="0"/>
                <w:sz w:val="20"/>
                <w:szCs w:val="20"/>
                <w:lang w:bidi="ar"/>
              </w:rPr>
              <w:t>级财政资金抽查占比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sz w:val="20"/>
                <w:szCs w:val="20"/>
                <w:lang w:val="en-US" w:eastAsia="zh-CN"/>
              </w:rPr>
              <w:t>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项目类别</w:t>
            </w: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仿宋_GB2312"/>
                <w:color w:val="000000"/>
                <w:spacing w:val="0"/>
                <w:sz w:val="20"/>
                <w:szCs w:val="20"/>
                <w:lang w:val="en-US" w:eastAsia="zh-CN"/>
              </w:rPr>
              <w:t>1类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抽查类别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仿宋_GB2312"/>
                <w:color w:val="000000"/>
                <w:spacing w:val="0"/>
                <w:sz w:val="20"/>
                <w:szCs w:val="20"/>
                <w:lang w:val="en-US" w:eastAsia="zh-CN"/>
              </w:rPr>
              <w:t>1类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类别抽查占比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项目数量</w:t>
            </w: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仿宋_GB2312"/>
                <w:color w:val="000000"/>
                <w:spacing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抽查项目数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仿宋_GB2312"/>
                <w:color w:val="000000"/>
                <w:spacing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项目抽查占比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涉及项目点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仿宋_GB2312"/>
                <w:color w:val="000000"/>
                <w:spacing w:val="0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抽查项目点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仿宋_GB2312"/>
                <w:color w:val="000000"/>
                <w:spacing w:val="0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抽查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区域</w:t>
            </w:r>
          </w:p>
        </w:tc>
        <w:tc>
          <w:tcPr>
            <w:tcW w:w="38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0"/>
                <w:sz w:val="20"/>
                <w:szCs w:val="20"/>
                <w:lang w:eastAsia="zh-CN"/>
              </w:rPr>
              <w:t>绥阳县水务局水利工程运行服务中心（后水河水库管理所）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发放调查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问卷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仿宋_GB2312"/>
                <w:color w:val="000000"/>
                <w:spacing w:val="0"/>
                <w:kern w:val="0"/>
                <w:sz w:val="20"/>
                <w:szCs w:val="20"/>
                <w:lang w:val="en-US" w:eastAsia="zh-CN"/>
              </w:rPr>
              <w:t>102份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有效调查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仿宋_GB2312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问卷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仿宋_GB2312"/>
                <w:color w:val="000000"/>
                <w:spacing w:val="0"/>
                <w:kern w:val="0"/>
                <w:sz w:val="20"/>
                <w:szCs w:val="20"/>
                <w:lang w:val="en-US" w:eastAsia="zh-CN"/>
              </w:rPr>
              <w:t>102份</w:t>
            </w:r>
          </w:p>
        </w:tc>
        <w:tc>
          <w:tcPr>
            <w:tcW w:w="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情况</w:t>
            </w:r>
          </w:p>
        </w:tc>
        <w:tc>
          <w:tcPr>
            <w:tcW w:w="38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仿宋_GB2312"/>
                <w:color w:val="000000"/>
                <w:spacing w:val="0"/>
                <w:kern w:val="0"/>
                <w:sz w:val="20"/>
                <w:szCs w:val="20"/>
                <w:lang w:val="en-US" w:eastAsia="zh-CN"/>
              </w:rPr>
              <w:t>90.71%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绩效目标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实现情况</w:t>
            </w:r>
          </w:p>
        </w:tc>
        <w:tc>
          <w:tcPr>
            <w:tcW w:w="769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tabs>
                <w:tab w:val="right" w:leader="dot" w:pos="83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default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  <w:t>目标1：发放合同工7人工资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tabs>
                <w:tab w:val="right" w:leader="dot" w:pos="83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default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  <w:t>目标2：付宽带管理费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tabs>
                <w:tab w:val="right" w:leader="dot" w:pos="83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  <w:t>目标3：付管理所、电站电费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tabs>
                <w:tab w:val="right" w:leader="dot" w:pos="83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default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  <w:t>目标4：付巡逻船油费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tabs>
                <w:tab w:val="right" w:leader="dot" w:pos="83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default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  <w:t>目标5：应急演练及宣传标语、宣传手册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tabs>
                <w:tab w:val="right" w:leader="dot" w:pos="83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default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  <w:t>目标6：应急车辆油费、保险、保养、过路费、维修养护费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  <w:t>目标7：收取水资源费开发票税金及附加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评价问题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简要情况</w:t>
            </w:r>
          </w:p>
        </w:tc>
        <w:tc>
          <w:tcPr>
            <w:tcW w:w="7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tabs>
                <w:tab w:val="right" w:leader="dot" w:pos="83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  <w:t>1.绩效指标的完整性和明确性方面存在不足，主要表现在以下几个方面：一是，绩效指标目标值设置过低，如“巡逻后水河水库周边”数量指标绩效指标目标值为60次，实际巡逻次数为260次。二是，社会效益指标未做到细化、量化，不能为工作实施提供刚性约束。2.后水河水库加高工程建设项目流程不规范，前期用地手续审批尚未完成，存在跳跃式现象，可能对项目后期验收存在影响，且后水河水库加高工程欠工程款1114万元，档案验收、竣工技术验收、蓄水验收、消防验收未完成。3.后水河水库2018年锥形匣伐损坏，因维修锥形匣</w:t>
            </w:r>
            <w:r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highlight w:val="none"/>
                <w:lang w:val="en-US" w:eastAsia="zh-CN"/>
              </w:rPr>
              <w:t>伐需</w:t>
            </w:r>
            <w:r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  <w:t>将水库中的水放空维修，但目前暂无稳定水源代替人饮供水及国家电投工业用水，导致锥形匣</w:t>
            </w:r>
            <w:r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highlight w:val="none"/>
                <w:lang w:val="en-US" w:eastAsia="zh-CN"/>
              </w:rPr>
              <w:t>伐</w:t>
            </w:r>
            <w:r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  <w:t>尚未修复，辖区内长效供水方面存在隐患。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29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评价问题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kern w:val="0"/>
                <w:sz w:val="20"/>
                <w:szCs w:val="20"/>
              </w:rPr>
              <w:t>简要建议</w:t>
            </w:r>
          </w:p>
        </w:tc>
        <w:tc>
          <w:tcPr>
            <w:tcW w:w="7692" w:type="dxa"/>
            <w:gridSpan w:val="11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tabs>
                <w:tab w:val="right" w:leader="dot" w:pos="83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  <w:t>1.建议后水河管理所聚焦部门职能、部门规划和年度重点工作任务，提炼出明确可考核的项目绩效目标、指标，强化预算与绩效管理一体化，使其能够在符合客观实际的前提下，准确、全面反映部门年度工作履职情况。2.建议后水河水库管理所加快水利工程验收步伐，整理好工程施工中所有文件及合同，尽快申报县级政府完善项目用地审批手续，协调有关部门组织档案验收、消防验收、竣工验收等相关验收手续，严格建设程序、验收程序，推进工程规范运行。3.建议后水河水库管理所尽快联系相关部门，寻找稳定水源替代人饮及灌溉供水，及时维修锥形匣阀，延长水库设施使用寿命，保障水库长效供水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29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sz w:val="20"/>
                <w:szCs w:val="20"/>
              </w:rPr>
              <w:t>评价结果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0"/>
                <w:sz w:val="20"/>
                <w:szCs w:val="20"/>
              </w:rPr>
              <w:t>应用建议</w:t>
            </w:r>
          </w:p>
        </w:tc>
        <w:tc>
          <w:tcPr>
            <w:tcW w:w="7692" w:type="dxa"/>
            <w:gridSpan w:val="11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tabs>
                <w:tab w:val="right" w:leader="dot" w:pos="83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  <w:t>1.建议县财政局督促被评价单位对本次绩效评价发现的问题进行整改，明确整改期限，并对整改结果进行复核。2.</w:t>
            </w:r>
            <w:r>
              <w:rPr>
                <w:rFonts w:hint="default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  <w:t>加强抽查监督，</w:t>
            </w:r>
            <w:r>
              <w:rPr>
                <w:rFonts w:hint="eastAsia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  <w:t>督促下一年绥阳县水利工程运行服务中心（后水河管理所）资金使用合理合规，部门履职高效尽责。3.</w:t>
            </w:r>
            <w:r>
              <w:rPr>
                <w:rFonts w:hint="default" w:ascii="仿宋_GB2312" w:hAnsi="黑体" w:eastAsia="仿宋_GB2312" w:cs="宋体"/>
                <w:spacing w:val="0"/>
                <w:sz w:val="21"/>
                <w:szCs w:val="21"/>
                <w:lang w:val="en-US" w:eastAsia="zh-CN"/>
              </w:rPr>
              <w:t>建议本次评价结果向社会公开，接受社会监督。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仿宋_GB2312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黑体" w:eastAsia="黑体" w:cs="仿宋_GB2312"/>
                <w:color w:val="000000"/>
                <w:spacing w:val="0"/>
                <w:sz w:val="20"/>
                <w:szCs w:val="20"/>
              </w:rPr>
              <w:t>评价时间</w:t>
            </w:r>
          </w:p>
        </w:tc>
        <w:tc>
          <w:tcPr>
            <w:tcW w:w="2246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0"/>
                <w:sz w:val="21"/>
                <w:szCs w:val="21"/>
              </w:rPr>
              <w:t>20</w:t>
            </w:r>
            <w:r>
              <w:rPr>
                <w:rFonts w:hint="eastAsia" w:hAnsi="宋体" w:cs="仿宋_GB2312"/>
                <w:color w:val="000000"/>
                <w:spacing w:val="0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hAnsi="宋体" w:eastAsia="仿宋_GB2312" w:cs="仿宋_GB2312"/>
                <w:color w:val="000000"/>
                <w:spacing w:val="0"/>
                <w:sz w:val="21"/>
                <w:szCs w:val="21"/>
              </w:rPr>
              <w:t>年</w:t>
            </w:r>
            <w:r>
              <w:rPr>
                <w:rFonts w:hint="eastAsia" w:hAnsi="宋体" w:cs="仿宋_GB2312"/>
                <w:color w:val="000000"/>
                <w:spacing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spacing w:val="0"/>
                <w:sz w:val="21"/>
                <w:szCs w:val="21"/>
              </w:rPr>
              <w:t>月</w:t>
            </w:r>
            <w:r>
              <w:rPr>
                <w:rFonts w:hint="eastAsia" w:hAnsi="宋体" w:cs="仿宋_GB2312"/>
                <w:color w:val="000000"/>
                <w:spacing w:val="0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spacing w:val="0"/>
                <w:sz w:val="21"/>
                <w:szCs w:val="21"/>
              </w:rPr>
              <w:t>日—20</w:t>
            </w:r>
            <w:r>
              <w:rPr>
                <w:rFonts w:hint="eastAsia" w:hAnsi="宋体" w:cs="仿宋_GB2312"/>
                <w:color w:val="000000"/>
                <w:spacing w:val="0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hAnsi="宋体" w:eastAsia="仿宋_GB2312" w:cs="仿宋_GB2312"/>
                <w:color w:val="000000"/>
                <w:spacing w:val="0"/>
                <w:sz w:val="21"/>
                <w:szCs w:val="21"/>
              </w:rPr>
              <w:t>年</w:t>
            </w:r>
            <w:r>
              <w:rPr>
                <w:rFonts w:hint="eastAsia" w:hAnsi="宋体" w:cs="仿宋_GB2312"/>
                <w:color w:val="000000"/>
                <w:spacing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spacing w:val="0"/>
                <w:sz w:val="21"/>
                <w:szCs w:val="21"/>
              </w:rPr>
              <w:t>月</w:t>
            </w:r>
            <w:r>
              <w:rPr>
                <w:rFonts w:hint="eastAsia" w:hAnsi="宋体" w:cs="仿宋_GB2312"/>
                <w:color w:val="000000"/>
                <w:spacing w:val="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仿宋_GB2312" w:hAnsi="宋体" w:eastAsia="仿宋_GB2312" w:cs="仿宋_GB2312"/>
                <w:color w:val="000000"/>
                <w:spacing w:val="0"/>
                <w:sz w:val="21"/>
                <w:szCs w:val="21"/>
              </w:rPr>
              <w:t>日</w:t>
            </w:r>
          </w:p>
        </w:tc>
        <w:tc>
          <w:tcPr>
            <w:tcW w:w="2246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仿宋_GB2312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黑体" w:eastAsia="黑体" w:cs="仿宋_GB2312"/>
                <w:color w:val="000000"/>
                <w:spacing w:val="0"/>
                <w:sz w:val="20"/>
                <w:szCs w:val="20"/>
              </w:rPr>
              <w:t>评价机构报告编号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0"/>
                <w:sz w:val="21"/>
                <w:szCs w:val="21"/>
              </w:rPr>
              <w:t>QCJ-PJ-</w:t>
            </w:r>
            <w:r>
              <w:rPr>
                <w:rFonts w:hint="eastAsia" w:ascii="仿宋_GB2312" w:hAnsi="宋体" w:eastAsia="仿宋_GB2312" w:cs="仿宋_GB2312"/>
                <w:color w:val="000000"/>
                <w:spacing w:val="0"/>
                <w:sz w:val="21"/>
                <w:szCs w:val="21"/>
                <w:lang w:eastAsia="zh-CN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spacing w:val="0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hAnsi="宋体" w:eastAsia="仿宋_GB2312" w:cs="仿宋_GB2312"/>
                <w:color w:val="000000"/>
                <w:spacing w:val="0"/>
                <w:sz w:val="21"/>
                <w:szCs w:val="21"/>
              </w:rPr>
              <w:t>-</w:t>
            </w:r>
            <w:r>
              <w:rPr>
                <w:rFonts w:hint="eastAsia" w:ascii="仿宋_GB2312" w:hAnsi="宋体" w:eastAsia="仿宋_GB2312" w:cs="仿宋_GB2312"/>
                <w:color w:val="000000"/>
                <w:spacing w:val="0"/>
                <w:sz w:val="21"/>
                <w:szCs w:val="21"/>
                <w:lang w:val="en-US" w:eastAsia="zh-CN"/>
              </w:rPr>
              <w:t>0912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仿宋_GB2312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黑体" w:eastAsia="黑体" w:cs="仿宋_GB2312"/>
                <w:color w:val="000000"/>
                <w:spacing w:val="0"/>
                <w:sz w:val="20"/>
                <w:szCs w:val="20"/>
                <w:lang w:eastAsia="zh-CN"/>
              </w:rPr>
              <w:t>项目主评人</w:t>
            </w:r>
            <w:r>
              <w:rPr>
                <w:rFonts w:hint="eastAsia" w:ascii="黑体" w:hAnsi="黑体" w:eastAsia="黑体" w:cs="仿宋_GB2312"/>
                <w:color w:val="000000"/>
                <w:spacing w:val="0"/>
                <w:sz w:val="20"/>
                <w:szCs w:val="20"/>
              </w:rPr>
              <w:t>（签字）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仿宋_GB2312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黑体" w:eastAsia="黑体" w:cs="仿宋_GB2312"/>
                <w:color w:val="000000"/>
                <w:spacing w:val="0"/>
                <w:sz w:val="20"/>
                <w:szCs w:val="20"/>
              </w:rPr>
              <w:t>及联系方式</w:t>
            </w:r>
          </w:p>
        </w:tc>
        <w:tc>
          <w:tcPr>
            <w:tcW w:w="2246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224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仿宋_GB2312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黑体" w:eastAsia="黑体" w:cs="仿宋_GB2312"/>
                <w:color w:val="000000"/>
                <w:spacing w:val="0"/>
                <w:sz w:val="20"/>
                <w:szCs w:val="20"/>
              </w:rPr>
              <w:t>法定代表人（签字）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仿宋_GB2312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黑体" w:hAnsi="黑体" w:eastAsia="黑体" w:cs="仿宋_GB2312"/>
                <w:color w:val="000000"/>
                <w:spacing w:val="0"/>
                <w:sz w:val="20"/>
                <w:szCs w:val="20"/>
              </w:rPr>
              <w:t>及联系方式</w:t>
            </w:r>
          </w:p>
        </w:tc>
        <w:tc>
          <w:tcPr>
            <w:tcW w:w="224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pacing w:val="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right" w:leader="dot" w:pos="83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outlineLvl w:val="0"/>
        <w:rPr>
          <w:rFonts w:hint="eastAsia" w:ascii="方正小标宋简体" w:hAnsi="黑体" w:eastAsia="方正小标宋简体" w:cs="宋体"/>
          <w:kern w:val="2"/>
          <w:sz w:val="44"/>
          <w:szCs w:val="44"/>
          <w:lang w:val="en-US" w:eastAsia="zh-CN" w:bidi="ar-SA"/>
        </w:rPr>
        <w:sectPr>
          <w:footerReference r:id="rId3" w:type="default"/>
          <w:pgSz w:w="11906" w:h="16838"/>
          <w:pgMar w:top="1984" w:right="1474" w:bottom="1928" w:left="1474" w:header="851" w:footer="1474" w:gutter="0"/>
          <w:pgNumType w:fmt="upperRoman" w:start="1"/>
          <w:cols w:space="425" w:num="1"/>
          <w:docGrid w:type="lines" w:linePitch="312" w:charSpace="0"/>
        </w:sectPr>
      </w:pPr>
      <w:bookmarkStart w:id="4" w:name="_GoBack"/>
      <w:bookmarkEnd w:id="4"/>
      <w:bookmarkStart w:id="2" w:name="_Toc14698"/>
      <w:bookmarkStart w:id="3" w:name="_Toc32588"/>
    </w:p>
    <w:bookmarkEnd w:id="2"/>
    <w:bookmarkEnd w:id="3"/>
    <w:p>
      <w:pPr>
        <w:adjustRightInd/>
        <w:snapToGrid/>
        <w:spacing w:line="240" w:lineRule="auto"/>
        <w:ind w:firstLine="0" w:firstLineChars="0"/>
        <w:rPr>
          <w:rFonts w:hint="eastAsia"/>
          <w:lang w:val="en-US" w:eastAsia="zh-CN"/>
        </w:rPr>
      </w:pPr>
    </w:p>
    <w:sectPr>
      <w:footerReference r:id="rId4" w:type="default"/>
      <w:pgSz w:w="11906" w:h="16838"/>
      <w:pgMar w:top="1984" w:right="1474" w:bottom="1928" w:left="1474" w:header="851" w:footer="147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ind w:firstLine="0" w:firstLineChars="0"/>
                            <w:textAlignment w:val="auto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ind w:firstLine="0" w:firstLineChars="0"/>
                      <w:textAlignment w:val="auto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kNDU4ZWExZTAxN2FmMmZmZDE5M2I1NDY2NzQwNzEifQ=="/>
  </w:docVars>
  <w:rsids>
    <w:rsidRoot w:val="57E10B4D"/>
    <w:rsid w:val="023773DF"/>
    <w:rsid w:val="04BA64C7"/>
    <w:rsid w:val="09F0504A"/>
    <w:rsid w:val="0A052B24"/>
    <w:rsid w:val="0A484405"/>
    <w:rsid w:val="0AB6595C"/>
    <w:rsid w:val="0B141E4D"/>
    <w:rsid w:val="0C6F6653"/>
    <w:rsid w:val="0E533440"/>
    <w:rsid w:val="100223CC"/>
    <w:rsid w:val="1142390A"/>
    <w:rsid w:val="115473FD"/>
    <w:rsid w:val="12574467"/>
    <w:rsid w:val="14D15810"/>
    <w:rsid w:val="19940C94"/>
    <w:rsid w:val="1B742AD4"/>
    <w:rsid w:val="1CF2284B"/>
    <w:rsid w:val="1D526E45"/>
    <w:rsid w:val="20A002CF"/>
    <w:rsid w:val="2975394E"/>
    <w:rsid w:val="2A2C1372"/>
    <w:rsid w:val="302627E4"/>
    <w:rsid w:val="3694724A"/>
    <w:rsid w:val="3A3F77D7"/>
    <w:rsid w:val="3D705DE5"/>
    <w:rsid w:val="3DD02C79"/>
    <w:rsid w:val="3E35705C"/>
    <w:rsid w:val="3FCF1741"/>
    <w:rsid w:val="42BA6A61"/>
    <w:rsid w:val="44FF20B3"/>
    <w:rsid w:val="471D3249"/>
    <w:rsid w:val="48163A59"/>
    <w:rsid w:val="49586403"/>
    <w:rsid w:val="4F072F1F"/>
    <w:rsid w:val="54046638"/>
    <w:rsid w:val="54B90AA4"/>
    <w:rsid w:val="55C51418"/>
    <w:rsid w:val="57E10B4D"/>
    <w:rsid w:val="5874579C"/>
    <w:rsid w:val="58F346C0"/>
    <w:rsid w:val="5EE40E24"/>
    <w:rsid w:val="5F3A6349"/>
    <w:rsid w:val="642C6545"/>
    <w:rsid w:val="64B4509F"/>
    <w:rsid w:val="670D0B3F"/>
    <w:rsid w:val="6B40757A"/>
    <w:rsid w:val="6D076D6B"/>
    <w:rsid w:val="6E32491D"/>
    <w:rsid w:val="6FA27E61"/>
    <w:rsid w:val="721E6158"/>
    <w:rsid w:val="736365BB"/>
    <w:rsid w:val="740833B9"/>
    <w:rsid w:val="7C0E3B3C"/>
    <w:rsid w:val="7CB13EA6"/>
    <w:rsid w:val="7CE2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590" w:lineRule="exact"/>
      <w:ind w:firstLine="880" w:firstLineChars="200"/>
      <w:jc w:val="both"/>
    </w:pPr>
    <w:rPr>
      <w:rFonts w:ascii="仿宋_GB2312" w:hAnsi="仿宋_GB2312" w:eastAsia="仿宋_GB2312" w:cstheme="minorBidi"/>
      <w:spacing w:val="6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keepLines/>
      <w:spacing w:beforeLines="0" w:beforeAutospacing="0" w:afterLines="0" w:afterAutospacing="0" w:line="590" w:lineRule="exact"/>
      <w:outlineLvl w:val="0"/>
    </w:pPr>
    <w:rPr>
      <w:rFonts w:ascii="黑体" w:hAnsi="黑体" w:eastAsia="黑体" w:cs="黑体"/>
      <w:spacing w:val="6"/>
      <w:kern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90" w:lineRule="exact"/>
      <w:outlineLvl w:val="1"/>
    </w:pPr>
    <w:rPr>
      <w:rFonts w:ascii="楷体_GB2312" w:hAnsi="楷体_GB2312" w:eastAsia="楷体_GB2312"/>
    </w:rPr>
  </w:style>
  <w:style w:type="paragraph" w:styleId="5">
    <w:name w:val="heading 3"/>
    <w:basedOn w:val="1"/>
    <w:next w:val="1"/>
    <w:unhideWhenUsed/>
    <w:qFormat/>
    <w:uiPriority w:val="9"/>
    <w:pPr>
      <w:keepNext/>
      <w:keepLines/>
      <w:outlineLvl w:val="2"/>
    </w:pPr>
    <w:rPr>
      <w:b/>
      <w:bCs/>
      <w:szCs w:val="32"/>
    </w:rPr>
  </w:style>
  <w:style w:type="character" w:default="1" w:styleId="17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ind w:firstLine="420"/>
    </w:pPr>
    <w:rPr>
      <w:rFonts w:hAnsi="仿宋" w:cs="Times New Roman"/>
      <w:szCs w:val="24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next w:val="2"/>
    <w:semiHidden/>
    <w:unhideWhenUsed/>
    <w:qFormat/>
    <w:uiPriority w:val="99"/>
    <w:pPr>
      <w:spacing w:after="120"/>
    </w:pPr>
  </w:style>
  <w:style w:type="paragraph" w:styleId="8">
    <w:name w:val="Balloon Text"/>
    <w:basedOn w:val="1"/>
    <w:next w:val="1"/>
    <w:semiHidden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toc 1"/>
    <w:basedOn w:val="1"/>
    <w:next w:val="1"/>
    <w:qFormat/>
    <w:uiPriority w:val="39"/>
    <w:rPr>
      <w:rFonts w:ascii="Times New Roman" w:hAnsi="Times New Roman" w:eastAsia="宋体" w:cs="Times New Roman"/>
      <w:szCs w:val="24"/>
    </w:rPr>
  </w:style>
  <w:style w:type="paragraph" w:styleId="12">
    <w:name w:val="Subtitle"/>
    <w:basedOn w:val="1"/>
    <w:next w:val="1"/>
    <w:qFormat/>
    <w:uiPriority w:val="11"/>
    <w:pPr>
      <w:ind w:firstLine="0" w:firstLineChars="0"/>
      <w:jc w:val="center"/>
      <w:outlineLvl w:val="1"/>
    </w:pPr>
    <w:rPr>
      <w:rFonts w:ascii="黑体" w:hAnsi="黑体" w:eastAsia="黑体" w:cstheme="majorBidi"/>
      <w:bCs/>
      <w:kern w:val="28"/>
      <w:sz w:val="21"/>
      <w:szCs w:val="32"/>
    </w:rPr>
  </w:style>
  <w:style w:type="paragraph" w:styleId="13">
    <w:name w:val="toc 2"/>
    <w:basedOn w:val="1"/>
    <w:next w:val="1"/>
    <w:qFormat/>
    <w:uiPriority w:val="0"/>
    <w:pPr>
      <w:ind w:left="420" w:leftChars="200"/>
    </w:pPr>
  </w:style>
  <w:style w:type="paragraph" w:styleId="14">
    <w:name w:val="Normal (Web)"/>
    <w:basedOn w:val="1"/>
    <w:next w:val="8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000000"/>
      <w:kern w:val="0"/>
      <w:sz w:val="24"/>
    </w:rPr>
  </w:style>
  <w:style w:type="table" w:styleId="16">
    <w:name w:val="Table Grid"/>
    <w:basedOn w:val="1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Strong"/>
    <w:basedOn w:val="17"/>
    <w:qFormat/>
    <w:uiPriority w:val="0"/>
    <w:rPr>
      <w:b/>
    </w:rPr>
  </w:style>
  <w:style w:type="character" w:styleId="19">
    <w:name w:val="Hyperlink"/>
    <w:basedOn w:val="17"/>
    <w:qFormat/>
    <w:uiPriority w:val="0"/>
    <w:rPr>
      <w:color w:val="0000FF"/>
      <w:u w:val="single"/>
    </w:rPr>
  </w:style>
  <w:style w:type="paragraph" w:customStyle="1" w:styleId="20">
    <w:name w:val="表头"/>
    <w:basedOn w:val="1"/>
    <w:qFormat/>
    <w:uiPriority w:val="0"/>
    <w:pPr>
      <w:spacing w:line="560" w:lineRule="exact"/>
      <w:ind w:firstLine="0" w:firstLineChars="0"/>
      <w:jc w:val="center"/>
    </w:pPr>
    <w:rPr>
      <w:rFonts w:ascii="黑体" w:hAnsi="黑体" w:eastAsia="黑体" w:cs="Times New Roman"/>
      <w:spacing w:val="6"/>
      <w:sz w:val="21"/>
      <w:szCs w:val="24"/>
    </w:rPr>
  </w:style>
  <w:style w:type="character" w:customStyle="1" w:styleId="21">
    <w:name w:val="标题 1 Char"/>
    <w:link w:val="3"/>
    <w:qFormat/>
    <w:uiPriority w:val="0"/>
    <w:rPr>
      <w:rFonts w:ascii="黑体" w:hAnsi="黑体" w:eastAsia="黑体" w:cs="黑体"/>
      <w:spacing w:val="6"/>
      <w:kern w:val="44"/>
    </w:rPr>
  </w:style>
  <w:style w:type="table" w:customStyle="1" w:styleId="22">
    <w:name w:val="网格型11"/>
    <w:basedOn w:val="15"/>
    <w:qFormat/>
    <w:uiPriority w:val="39"/>
    <w:rPr>
      <w:rFonts w:ascii="等线" w:hAnsi="等线" w:eastAsia="等线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3">
    <w:name w:val="font01"/>
    <w:basedOn w:val="17"/>
    <w:qFormat/>
    <w:uiPriority w:val="0"/>
    <w:rPr>
      <w:rFonts w:hint="eastAsia" w:ascii="仿宋_GB2312" w:eastAsia="仿宋_GB2312" w:cs="仿宋_GB2312"/>
      <w:color w:val="000000"/>
      <w:sz w:val="18"/>
      <w:szCs w:val="18"/>
      <w:u w:val="none"/>
      <w:vertAlign w:val="subscript"/>
    </w:rPr>
  </w:style>
  <w:style w:type="character" w:customStyle="1" w:styleId="24">
    <w:name w:val="font41"/>
    <w:basedOn w:val="17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paragraph" w:customStyle="1" w:styleId="25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6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7">
    <w:name w:val="TOC Heading"/>
    <w:basedOn w:val="3"/>
    <w:next w:val="1"/>
    <w:unhideWhenUsed/>
    <w:qFormat/>
    <w:uiPriority w:val="39"/>
    <w:pPr>
      <w:widowControl/>
      <w:adjustRightInd/>
      <w:snapToGrid/>
      <w:spacing w:before="240" w:after="0" w:line="259" w:lineRule="auto"/>
      <w:ind w:firstLine="0" w:firstLineChars="0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spacing w:val="0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25405</Words>
  <Characters>26764</Characters>
  <Lines>0</Lines>
  <Paragraphs>0</Paragraphs>
  <TotalTime>3</TotalTime>
  <ScaleCrop>false</ScaleCrop>
  <LinksUpToDate>false</LinksUpToDate>
  <CharactersWithSpaces>27127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2022-09-03T07:27:00Z</dcterms:created>
  <dc:creator>栀南</dc:creator>
  <cp:lastModifiedBy>Administrator</cp:lastModifiedBy>
  <dcterms:modified xsi:type="dcterms:W3CDTF">2023-03-27T02:49:10Z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7CD1CF32BF0D407896C0FAA770904A88</vt:lpwstr>
  </property>
</Properties>
</file>