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64"/>
      </w:pPr>
    </w:p>
    <w:p>
      <w:pPr>
        <w:ind w:firstLine="664"/>
      </w:pPr>
    </w:p>
    <w:p>
      <w:pPr>
        <w:adjustRightInd/>
        <w:snapToGrid/>
        <w:spacing w:line="240" w:lineRule="auto"/>
        <w:ind w:firstLine="0" w:firstLineChars="0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spacing w:val="0"/>
          <w:kern w:val="0"/>
          <w:sz w:val="44"/>
          <w:szCs w:val="44"/>
        </w:rPr>
        <w:t>绥阳县气象局2021年防灾减灾追加经费</w:t>
      </w:r>
    </w:p>
    <w:p>
      <w:pPr>
        <w:ind w:firstLine="664"/>
      </w:pPr>
    </w:p>
    <w:p>
      <w:pPr>
        <w:ind w:firstLine="664"/>
      </w:pPr>
    </w:p>
    <w:p>
      <w:pPr>
        <w:ind w:firstLine="664"/>
      </w:pPr>
    </w:p>
    <w:p>
      <w:pPr>
        <w:pStyle w:val="2"/>
      </w:pPr>
    </w:p>
    <w:p>
      <w:pPr>
        <w:ind w:firstLine="664"/>
      </w:pPr>
    </w:p>
    <w:p>
      <w:pPr>
        <w:ind w:firstLine="664"/>
      </w:pPr>
    </w:p>
    <w:p>
      <w:pPr>
        <w:spacing w:line="240" w:lineRule="auto"/>
        <w:ind w:firstLine="0" w:firstLineChars="0"/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hint="eastAsia"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ind w:firstLine="664"/>
      </w:pPr>
    </w:p>
    <w:p>
      <w:pPr>
        <w:ind w:firstLine="664"/>
      </w:pPr>
    </w:p>
    <w:p>
      <w:pPr>
        <w:ind w:firstLine="664"/>
      </w:pPr>
    </w:p>
    <w:p>
      <w:pPr>
        <w:ind w:firstLine="664"/>
      </w:pPr>
    </w:p>
    <w:p>
      <w:pPr>
        <w:pStyle w:val="2"/>
        <w:ind w:firstLine="664"/>
      </w:pPr>
    </w:p>
    <w:tbl>
      <w:tblPr>
        <w:tblStyle w:val="15"/>
        <w:tblW w:w="60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34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49" w:type="dxa"/>
            <w:vAlign w:val="bottom"/>
          </w:tcPr>
          <w:p>
            <w:pPr>
              <w:spacing w:line="240" w:lineRule="auto"/>
              <w:ind w:firstLine="0" w:firstLineChars="0"/>
              <w:jc w:val="right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报告编号：</w:t>
            </w:r>
          </w:p>
        </w:tc>
        <w:tc>
          <w:tcPr>
            <w:tcW w:w="3424" w:type="dxa"/>
            <w:vAlign w:val="bottom"/>
          </w:tcPr>
          <w:p>
            <w:pPr>
              <w:spacing w:line="240" w:lineRule="auto"/>
              <w:ind w:firstLine="0" w:firstLineChars="0"/>
              <w:jc w:val="left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QCJ-PJ-2022-0914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49" w:type="dxa"/>
            <w:vAlign w:val="bottom"/>
          </w:tcPr>
          <w:p>
            <w:pPr>
              <w:spacing w:line="240" w:lineRule="auto"/>
              <w:ind w:firstLine="0" w:firstLineChars="0"/>
              <w:jc w:val="right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委托单位：</w:t>
            </w:r>
          </w:p>
        </w:tc>
        <w:tc>
          <w:tcPr>
            <w:tcW w:w="3424" w:type="dxa"/>
            <w:vAlign w:val="bottom"/>
          </w:tcPr>
          <w:p>
            <w:pPr>
              <w:spacing w:line="240" w:lineRule="auto"/>
              <w:ind w:firstLine="0" w:firstLineChars="0"/>
              <w:jc w:val="left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绥阳县财政局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49" w:type="dxa"/>
            <w:vAlign w:val="bottom"/>
          </w:tcPr>
          <w:p>
            <w:pPr>
              <w:spacing w:line="240" w:lineRule="auto"/>
              <w:ind w:firstLine="0" w:firstLineChars="0"/>
              <w:jc w:val="right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评价机构：</w:t>
            </w:r>
          </w:p>
        </w:tc>
        <w:tc>
          <w:tcPr>
            <w:tcW w:w="3424" w:type="dxa"/>
            <w:vAlign w:val="bottom"/>
          </w:tcPr>
          <w:p>
            <w:pPr>
              <w:spacing w:line="240" w:lineRule="auto"/>
              <w:ind w:firstLine="0" w:firstLineChars="0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广州业越管理咨询有限公司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49" w:type="dxa"/>
            <w:vAlign w:val="bottom"/>
          </w:tcPr>
          <w:p>
            <w:pPr>
              <w:spacing w:line="240" w:lineRule="auto"/>
              <w:ind w:firstLine="0" w:firstLineChars="0"/>
              <w:jc w:val="right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报告时间：</w:t>
            </w:r>
          </w:p>
        </w:tc>
        <w:tc>
          <w:tcPr>
            <w:tcW w:w="3424" w:type="dxa"/>
            <w:vAlign w:val="bottom"/>
          </w:tcPr>
          <w:p>
            <w:pPr>
              <w:spacing w:line="240" w:lineRule="auto"/>
              <w:ind w:firstLine="0" w:firstLineChars="0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spacing w:val="0"/>
                <w:kern w:val="0"/>
                <w:sz w:val="24"/>
              </w:rPr>
              <w:t>2022年</w:t>
            </w:r>
            <w:r>
              <w:rPr>
                <w:rFonts w:ascii="黑体" w:hAnsi="黑体" w:eastAsia="黑体" w:cs="宋体"/>
                <w:spacing w:val="0"/>
                <w:kern w:val="0"/>
                <w:sz w:val="24"/>
              </w:rPr>
              <w:t>10</w:t>
            </w:r>
            <w:r>
              <w:rPr>
                <w:rFonts w:hint="eastAsia" w:ascii="黑体" w:hAnsi="黑体" w:eastAsia="黑体" w:cs="宋体"/>
                <w:spacing w:val="0"/>
                <w:kern w:val="0"/>
                <w:sz w:val="24"/>
              </w:rPr>
              <w:t>月</w:t>
            </w:r>
            <w:r>
              <w:rPr>
                <w:rFonts w:ascii="黑体" w:hAnsi="黑体" w:eastAsia="黑体" w:cs="宋体"/>
                <w:spacing w:val="0"/>
                <w:kern w:val="0"/>
                <w:sz w:val="24"/>
              </w:rPr>
              <w:t>15</w:t>
            </w:r>
            <w:r>
              <w:rPr>
                <w:rFonts w:hint="eastAsia" w:ascii="黑体" w:hAnsi="黑体" w:eastAsia="黑体" w:cs="宋体"/>
                <w:spacing w:val="0"/>
                <w:kern w:val="0"/>
                <w:sz w:val="24"/>
              </w:rPr>
              <w:t>日</w:t>
            </w:r>
          </w:p>
        </w:tc>
      </w:tr>
    </w:tbl>
    <w:p>
      <w:pPr>
        <w:pStyle w:val="2"/>
        <w:ind w:firstLine="554" w:firstLineChars="167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984" w:right="1474" w:bottom="1871" w:left="1474" w:header="851" w:footer="1474" w:gutter="0"/>
          <w:pgNumType w:fmt="upperRoman"/>
          <w:cols w:space="0" w:num="1"/>
          <w:docGrid w:type="lines" w:linePitch="312" w:charSpace="0"/>
        </w:sectPr>
      </w:pPr>
    </w:p>
    <w:tbl>
      <w:tblPr>
        <w:tblStyle w:val="15"/>
        <w:tblpPr w:leftFromText="180" w:rightFromText="180" w:vertAnchor="text" w:horzAnchor="margin" w:tblpXSpec="center" w:tblpY="-77"/>
        <w:tblOverlap w:val="never"/>
        <w:tblW w:w="908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1"/>
        <w:gridCol w:w="946"/>
        <w:gridCol w:w="417"/>
        <w:gridCol w:w="694"/>
        <w:gridCol w:w="833"/>
        <w:gridCol w:w="618"/>
        <w:gridCol w:w="745"/>
        <w:gridCol w:w="720"/>
        <w:gridCol w:w="336"/>
        <w:gridCol w:w="974"/>
        <w:gridCol w:w="15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087" w:type="dxa"/>
            <w:gridSpan w:val="11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4"/>
                <w:szCs w:val="22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4"/>
                <w:szCs w:val="22"/>
              </w:rPr>
              <w:t>评价分值：90.84</w:t>
            </w:r>
            <w:r>
              <w:rPr>
                <w:rStyle w:val="19"/>
                <w:rFonts w:hint="eastAsia" w:cs="Times New Roman"/>
                <w:spacing w:val="0"/>
              </w:rPr>
              <w:t>分</w:t>
            </w:r>
            <w:r>
              <w:rPr>
                <w:rStyle w:val="19"/>
                <w:rFonts w:hint="eastAsia" w:ascii="Times New Roman" w:cs="Times New Roman"/>
                <w:spacing w:val="0"/>
              </w:rPr>
              <w:t xml:space="preserve">                                 </w:t>
            </w:r>
            <w:r>
              <w:rPr>
                <w:rFonts w:hint="eastAsia" w:eastAsia="黑体" w:cs="Times New Roman"/>
                <w:color w:val="000000"/>
                <w:spacing w:val="0"/>
                <w:kern w:val="0"/>
                <w:sz w:val="24"/>
                <w:szCs w:val="22"/>
              </w:rPr>
              <w:t>评价等级：优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" w:hRule="atLeast"/>
          <w:jc w:val="center"/>
        </w:trPr>
        <w:tc>
          <w:tcPr>
            <w:tcW w:w="9087" w:type="dxa"/>
            <w:gridSpan w:val="11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b/>
                <w:color w:val="000000"/>
                <w:spacing w:val="0"/>
                <w:sz w:val="36"/>
                <w:szCs w:val="36"/>
              </w:rPr>
            </w:pPr>
            <w:r>
              <w:rPr>
                <w:rFonts w:hint="eastAsia" w:eastAsia="黑体" w:cs="Times New Roman"/>
                <w:b/>
                <w:color w:val="000000"/>
                <w:spacing w:val="0"/>
                <w:kern w:val="0"/>
                <w:sz w:val="36"/>
                <w:szCs w:val="36"/>
              </w:rPr>
              <w:t>概   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087" w:type="dxa"/>
            <w:gridSpan w:val="11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eastAsia="黑体" w:cs="Times New Roman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2"/>
                <w:szCs w:val="22"/>
              </w:rPr>
              <w:t>评价机构全称（盖章）：                                        单位：万元、类、个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9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绥阳县气象局2021年防灾减灾追加经费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评价年度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2021年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财政主管股室</w:t>
            </w:r>
          </w:p>
        </w:tc>
        <w:tc>
          <w:tcPr>
            <w:tcW w:w="2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color w:val="000000"/>
                <w:sz w:val="20"/>
                <w:szCs w:val="20"/>
              </w:rPr>
              <w:t>绩效评估股</w:t>
            </w:r>
          </w:p>
        </w:tc>
        <w:tc>
          <w:tcPr>
            <w:tcW w:w="2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hAnsi="宋体" w:cs="仿宋_GB2312"/>
                <w:color w:val="000000"/>
                <w:sz w:val="20"/>
                <w:szCs w:val="20"/>
              </w:rPr>
              <w:t>杨开良13885289268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color w:val="000000"/>
                <w:sz w:val="20"/>
                <w:szCs w:val="20"/>
              </w:rPr>
              <w:t>绥阳县气象局</w:t>
            </w:r>
          </w:p>
        </w:tc>
        <w:tc>
          <w:tcPr>
            <w:tcW w:w="2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陈艳玲 13511835960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各级资金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投入总数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20.00</w:t>
            </w:r>
          </w:p>
        </w:tc>
        <w:tc>
          <w:tcPr>
            <w:tcW w:w="15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/>
                <w:color w:val="000000"/>
                <w:spacing w:val="0"/>
                <w:sz w:val="20"/>
                <w:szCs w:val="20"/>
              </w:rPr>
              <w:t>抽查资金总数</w:t>
            </w:r>
          </w:p>
        </w:tc>
        <w:tc>
          <w:tcPr>
            <w:tcW w:w="20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20.00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/>
                <w:color w:val="000000"/>
                <w:spacing w:val="0"/>
                <w:sz w:val="20"/>
                <w:szCs w:val="20"/>
              </w:rPr>
              <w:t>资金抽查占比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Times New Roman" w:eastAsia="黑体" w:cs="Times New Roman"/>
                <w:color w:val="000000"/>
                <w:kern w:val="0"/>
                <w:sz w:val="20"/>
                <w:szCs w:val="20"/>
              </w:rPr>
              <w:t>县</w:t>
            </w:r>
            <w:r>
              <w:rPr>
                <w:rFonts w:ascii="Times New Roman" w:eastAsia="黑体" w:cs="Times New Roman"/>
                <w:color w:val="000000"/>
                <w:kern w:val="0"/>
                <w:sz w:val="20"/>
                <w:szCs w:val="20"/>
              </w:rPr>
              <w:t>级财政资金拨付数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20.00</w:t>
            </w:r>
          </w:p>
        </w:tc>
        <w:tc>
          <w:tcPr>
            <w:tcW w:w="15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ascii="Times New Roman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eastAsia="黑体" w:cs="Times New Roman"/>
                <w:color w:val="000000"/>
                <w:kern w:val="0"/>
                <w:sz w:val="20"/>
                <w:szCs w:val="20"/>
              </w:rPr>
              <w:t>县</w:t>
            </w:r>
            <w:r>
              <w:rPr>
                <w:rFonts w:ascii="Times New Roman" w:eastAsia="黑体" w:cs="Times New Roman"/>
                <w:color w:val="000000"/>
                <w:kern w:val="0"/>
                <w:sz w:val="20"/>
                <w:szCs w:val="20"/>
              </w:rPr>
              <w:t>级财政资金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ascii="Times New Roman" w:eastAsia="黑体" w:cs="Times New Roman"/>
                <w:color w:val="000000"/>
                <w:kern w:val="0"/>
                <w:sz w:val="20"/>
                <w:szCs w:val="20"/>
              </w:rPr>
              <w:t>抽查数</w:t>
            </w:r>
          </w:p>
        </w:tc>
        <w:tc>
          <w:tcPr>
            <w:tcW w:w="20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20.00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ascii="Times New Roman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eastAsia="黑体" w:cs="Times New Roman"/>
                <w:color w:val="000000"/>
                <w:kern w:val="0"/>
                <w:sz w:val="20"/>
                <w:szCs w:val="20"/>
              </w:rPr>
              <w:t>县</w:t>
            </w:r>
            <w:r>
              <w:rPr>
                <w:rFonts w:ascii="Times New Roman" w:eastAsia="黑体" w:cs="Times New Roman"/>
                <w:color w:val="000000"/>
                <w:kern w:val="0"/>
                <w:sz w:val="20"/>
                <w:szCs w:val="20"/>
              </w:rPr>
              <w:t>级财政资金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ascii="Times New Roman" w:eastAsia="黑体" w:cs="Times New Roman"/>
                <w:color w:val="000000"/>
                <w:kern w:val="0"/>
                <w:sz w:val="20"/>
                <w:szCs w:val="20"/>
              </w:rPr>
              <w:t>抽查占比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1类</w:t>
            </w:r>
          </w:p>
        </w:tc>
        <w:tc>
          <w:tcPr>
            <w:tcW w:w="1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抽查类别</w:t>
            </w:r>
          </w:p>
        </w:tc>
        <w:tc>
          <w:tcPr>
            <w:tcW w:w="2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1类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类别抽查占比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 w:eastAsiaTheme="minorEastAsia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项目数量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1个</w:t>
            </w:r>
          </w:p>
        </w:tc>
        <w:tc>
          <w:tcPr>
            <w:tcW w:w="1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抽查项目数</w:t>
            </w:r>
          </w:p>
        </w:tc>
        <w:tc>
          <w:tcPr>
            <w:tcW w:w="2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1个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项目抽查占比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Times New Roman" w:eastAsiaTheme="minorEastAsia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涉及市县数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或项目点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kern w:val="0"/>
                <w:sz w:val="20"/>
                <w:szCs w:val="20"/>
              </w:rPr>
              <w:t>1个</w:t>
            </w:r>
          </w:p>
        </w:tc>
        <w:tc>
          <w:tcPr>
            <w:tcW w:w="1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抽查市县数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或项目点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kern w:val="0"/>
                <w:sz w:val="20"/>
                <w:szCs w:val="20"/>
              </w:rPr>
              <w:t>1个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抽查区域</w:t>
            </w:r>
          </w:p>
        </w:tc>
        <w:tc>
          <w:tcPr>
            <w:tcW w:w="3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kern w:val="0"/>
                <w:sz w:val="20"/>
                <w:szCs w:val="20"/>
              </w:rPr>
              <w:t>绥阳县域内炮站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发放调查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问卷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</w:rPr>
              <w:t>34份</w:t>
            </w:r>
          </w:p>
        </w:tc>
        <w:tc>
          <w:tcPr>
            <w:tcW w:w="1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有效调查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问卷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</w:rPr>
              <w:t>34份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满意度情况</w:t>
            </w:r>
          </w:p>
        </w:tc>
        <w:tc>
          <w:tcPr>
            <w:tcW w:w="3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kern w:val="0"/>
                <w:sz w:val="20"/>
                <w:szCs w:val="20"/>
              </w:rPr>
              <w:t>93.53%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绩效目标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实现情况</w:t>
            </w:r>
          </w:p>
        </w:tc>
        <w:tc>
          <w:tcPr>
            <w:tcW w:w="77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2021年防灾减灾追加经费的实施，有效保障了人影工作民兵日常工资及社保发放，为炮站及火箭作业车日常维修维护提供支撑。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简要情况</w:t>
            </w:r>
          </w:p>
        </w:tc>
        <w:tc>
          <w:tcPr>
            <w:tcW w:w="77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（一）项目管理方面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b/>
                <w:bCs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spacing w:val="0"/>
                <w:sz w:val="20"/>
                <w:szCs w:val="20"/>
              </w:rPr>
              <w:t>1．部分工作计划未完成，任务执行力度</w:t>
            </w:r>
            <w:r>
              <w:rPr>
                <w:rFonts w:hint="eastAsia" w:cs="Times New Roman"/>
                <w:spacing w:val="0"/>
                <w:sz w:val="20"/>
                <w:szCs w:val="20"/>
                <w:highlight w:val="none"/>
              </w:rPr>
              <w:t>待</w:t>
            </w:r>
            <w:r>
              <w:rPr>
                <w:rFonts w:hint="eastAsia" w:cs="Times New Roman"/>
                <w:spacing w:val="0"/>
                <w:sz w:val="20"/>
                <w:szCs w:val="20"/>
              </w:rPr>
              <w:t>加强。根据2020年县应急管理局、县公安局联合安全检查工作结果，风华炮站由于作业环境影响，被停止高炮作业，且需在2021年重新选择炮站地址。但截至本次评价日期，风华炮站搬迁工作由于土地选址问题尚未完成，该炮点高炮作业工作任务仍无法正常开展，不利于区域内人影工作的推进与发展。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（二）绩效管理方面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1．部分绩效目标设置不合理，编制水平有待提高。根据县气象局《防灾减灾追加经费项目绩效目标表》，发现在年度绩效目标的设定方面存在以下问题：一是部分绩效目标设置存在与项目实施内容不匹配，在效益指标中，仅设置社会效益，未体现项目申请中完善气象服务体系、保障人民财产等其他效益方面的内容；二是部分绩效目标的设定和细化不够深入，在年度绩效目标中，仅填写“保障防灾减灾工作顺利进行”，未根据资金申请文件中的项目内容对应填写；在数量指标中，仅设置“业务工作完成率”一项三级指标且内容较为宽泛，指标考核无明确对象及任务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kern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kern w:val="0"/>
                <w:sz w:val="20"/>
                <w:szCs w:val="20"/>
              </w:rPr>
              <w:t>简要建议</w:t>
            </w:r>
          </w:p>
        </w:tc>
        <w:tc>
          <w:tcPr>
            <w:tcW w:w="7796" w:type="dxa"/>
            <w:gridSpan w:val="1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（一）项目管理方面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FF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1．</w:t>
            </w:r>
            <w:r>
              <w:rPr>
                <w:rFonts w:hint="eastAsia" w:cs="Times New Roman"/>
                <w:spacing w:val="0"/>
                <w:sz w:val="20"/>
                <w:szCs w:val="20"/>
              </w:rPr>
              <w:t>加快落实炮点安全整改，逐步推进人影高质量发展。县气象局应加快与县委</w:t>
            </w:r>
            <w:r>
              <w:rPr>
                <w:rFonts w:hint="eastAsia" w:cs="Times New Roman"/>
                <w:spacing w:val="0"/>
                <w:sz w:val="20"/>
                <w:szCs w:val="20"/>
                <w:lang w:eastAsia="zh-CN"/>
              </w:rPr>
              <w:t>县</w:t>
            </w:r>
            <w:bookmarkStart w:id="0" w:name="_GoBack"/>
            <w:bookmarkEnd w:id="0"/>
            <w:r>
              <w:rPr>
                <w:rFonts w:hint="eastAsia" w:cs="Times New Roman"/>
                <w:spacing w:val="0"/>
                <w:sz w:val="20"/>
                <w:szCs w:val="20"/>
              </w:rPr>
              <w:t>政府的汇报，尽快落实绥阳县人工影响天气高质量发展的实施具体实施意见，逐步解决炮点的现代化改造及设备的更新换代工作。切实做到县域内人影工作“五覆盖两到位”，确保每年度人影工作安全高效运行。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（二）绩效管理方面</w:t>
            </w:r>
          </w:p>
          <w:p>
            <w:pPr>
              <w:widowControl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1．</w:t>
            </w:r>
            <w:r>
              <w:rPr>
                <w:rFonts w:cs="Times New Roman"/>
                <w:color w:val="000000"/>
                <w:spacing w:val="0"/>
                <w:sz w:val="20"/>
                <w:szCs w:val="20"/>
              </w:rPr>
              <w:t>强化绩效管理意识，合理设置绩效目标</w:t>
            </w: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。</w:t>
            </w:r>
            <w:r>
              <w:rPr>
                <w:rFonts w:cs="Times New Roman"/>
                <w:color w:val="000000"/>
                <w:spacing w:val="0"/>
                <w:sz w:val="20"/>
                <w:szCs w:val="20"/>
              </w:rPr>
              <w:t>建议各项目实施单位加强预算绩效管理意识，高度重视绩效目标编制工作，切实提高绩效目标的科学性、合理性。编制预算前，结合单位年度工作计划，明晰项目总体绩效目标与年度绩效目标，对项目产出准确定位和细化，对项目所产生的效益进行论证与分析，使其能够准确、全面地反映项目年度实施情况。目标设置过程中参照计划标准、行业标准、历史标准等，合理设置年度绩效目标，避免出现绩效目标设置过高或过低的情况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评价结果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应用建议</w:t>
            </w:r>
          </w:p>
        </w:tc>
        <w:tc>
          <w:tcPr>
            <w:tcW w:w="7796" w:type="dxa"/>
            <w:gridSpan w:val="1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建议县财政局督促被评价单位对本次绩效评价发现的问题进行整改，明确整改期限，并对整改结果进行复核。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评价时间</w:t>
            </w:r>
          </w:p>
        </w:tc>
        <w:tc>
          <w:tcPr>
            <w:tcW w:w="3508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2022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年8月</w:t>
            </w:r>
            <w:r>
              <w:rPr>
                <w:rFonts w:cs="Times New Roman"/>
                <w:color w:val="000000"/>
                <w:sz w:val="20"/>
                <w:szCs w:val="20"/>
              </w:rPr>
              <w:t>25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日至2</w:t>
            </w:r>
            <w:r>
              <w:rPr>
                <w:rFonts w:cs="Times New Roman"/>
                <w:color w:val="000000"/>
                <w:sz w:val="20"/>
                <w:szCs w:val="20"/>
              </w:rPr>
              <w:t>022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年1</w:t>
            </w: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月</w:t>
            </w:r>
            <w:r>
              <w:rPr>
                <w:rFonts w:cs="Times New Roman"/>
                <w:color w:val="000000"/>
                <w:sz w:val="20"/>
                <w:szCs w:val="20"/>
              </w:rPr>
              <w:t>15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评价机构报告编号</w:t>
            </w:r>
          </w:p>
        </w:tc>
        <w:tc>
          <w:tcPr>
            <w:tcW w:w="24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pacing w:val="0"/>
                <w:sz w:val="20"/>
                <w:szCs w:val="20"/>
              </w:rPr>
              <w:t>QCJ-PJ-2022-0914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项目负责人（签字）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及联系方式</w:t>
            </w:r>
          </w:p>
        </w:tc>
        <w:tc>
          <w:tcPr>
            <w:tcW w:w="3508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法定代表人（签字）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eastAsia="黑体" w:cs="Times New Roman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黑体" w:cs="Times New Roman"/>
                <w:color w:val="000000"/>
                <w:spacing w:val="0"/>
                <w:sz w:val="20"/>
                <w:szCs w:val="20"/>
              </w:rPr>
              <w:t>及联系方式</w:t>
            </w:r>
          </w:p>
        </w:tc>
        <w:tc>
          <w:tcPr>
            <w:tcW w:w="24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textAlignment w:val="center"/>
              <w:rPr>
                <w:rFonts w:cs="Times New Roman"/>
                <w:color w:val="000000"/>
                <w:spacing w:val="0"/>
                <w:sz w:val="20"/>
                <w:szCs w:val="20"/>
              </w:rPr>
            </w:pPr>
          </w:p>
        </w:tc>
      </w:tr>
    </w:tbl>
    <w:p>
      <w:pPr>
        <w:pStyle w:val="2"/>
        <w:ind w:firstLine="664"/>
      </w:pPr>
    </w:p>
    <w:p>
      <w:pPr>
        <w:pStyle w:val="2"/>
        <w:ind w:firstLine="664"/>
        <w:sectPr>
          <w:footerReference r:id="rId11" w:type="default"/>
          <w:pgSz w:w="11906" w:h="16838"/>
          <w:pgMar w:top="1984" w:right="1474" w:bottom="1871" w:left="1474" w:header="851" w:footer="1474" w:gutter="0"/>
          <w:pgNumType w:fmt="upperRoman"/>
          <w:cols w:space="0" w:num="1"/>
          <w:docGrid w:type="lines" w:linePitch="312" w:charSpace="0"/>
        </w:sectPr>
      </w:pPr>
    </w:p>
    <w:p>
      <w:pPr>
        <w:spacing w:line="240" w:lineRule="auto"/>
        <w:ind w:firstLine="560"/>
        <w:outlineLvl w:val="2"/>
        <w:rPr>
          <w:rFonts w:ascii="黑体" w:hAnsi="黑体" w:eastAsia="黑体" w:cs="黑体"/>
          <w:sz w:val="28"/>
          <w:szCs w:val="28"/>
        </w:rPr>
      </w:pPr>
    </w:p>
    <w:sectPr>
      <w:footerReference r:id="rId12" w:type="default"/>
      <w:pgSz w:w="11906" w:h="16838"/>
      <w:pgMar w:top="1984" w:right="1474" w:bottom="1871" w:left="1474" w:header="851" w:footer="1474" w:gutter="0"/>
      <w:pgNumType w:fmt="decimal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64"/>
      </w:pPr>
      <w:r>
        <w:separator/>
      </w:r>
    </w:p>
  </w:endnote>
  <w:endnote w:type="continuationSeparator" w:id="1">
    <w:p>
      <w:pPr>
        <w:spacing w:line="240" w:lineRule="auto"/>
        <w:ind w:firstLine="66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8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8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8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8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ind w:firstLine="0" w:firstLineChars="0"/>
      <w:jc w:val="both"/>
      <w:textAlignment w:val="auto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8" name="文本框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723335600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="仿宋" w:hAnsi="仿宋" w:eastAsia="仿宋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9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ind w:firstLine="0" w:firstLineChars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4"/>
                                  <w:szCs w:val="24"/>
                                </w:rPr>
                                <w:t xml:space="preserve">－ </w:t>
                              </w:r>
                              <w:r>
                                <w:rPr>
                                  <w:rFonts w:ascii="仿宋" w:hAnsi="仿宋" w:eastAsia="仿宋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仿宋" w:hAnsi="仿宋" w:eastAsia="仿宋"/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仿宋" w:hAnsi="仿宋" w:eastAsia="仿宋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" w:hAnsi="仿宋" w:eastAsia="仿宋"/>
                                  <w:sz w:val="24"/>
                                  <w:szCs w:val="24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仿宋" w:hAnsi="仿宋" w:eastAsia="仿宋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" w:hAns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4"/>
                                  <w:szCs w:val="24"/>
                                </w:rPr>
                                <w:t>－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PoR2bAyAgAAZ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723335600"/>
                      <w:docPartObj>
                        <w:docPartGallery w:val="autotext"/>
                      </w:docPartObj>
                    </w:sdtPr>
                    <w:sdtEndPr>
                      <w:rPr>
                        <w:rFonts w:ascii="仿宋" w:hAnsi="仿宋" w:eastAsia="仿宋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ind w:firstLine="0" w:firstLineChars="0"/>
                          <w:jc w:val="center"/>
                          <w:textAlignment w:val="auto"/>
                        </w:pPr>
                        <w:r>
                          <w:rPr>
                            <w:rFonts w:hint="eastAsia" w:ascii="仿宋" w:hAnsi="仿宋" w:eastAsia="仿宋"/>
                            <w:sz w:val="24"/>
                            <w:szCs w:val="24"/>
                          </w:rPr>
                          <w:t xml:space="preserve">－ </w:t>
                        </w:r>
                        <w:r>
                          <w:rPr>
                            <w:rFonts w:ascii="仿宋" w:hAnsi="仿宋" w:eastAsia="仿宋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仿宋" w:hAnsi="仿宋" w:eastAsia="仿宋"/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rFonts w:ascii="仿宋" w:hAnsi="仿宋" w:eastAsia="仿宋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="仿宋" w:hAnsi="仿宋" w:eastAsia="仿宋"/>
                            <w:sz w:val="24"/>
                            <w:szCs w:val="24"/>
                            <w:lang w:val="zh-CN"/>
                          </w:rPr>
                          <w:t>2</w:t>
                        </w:r>
                        <w:r>
                          <w:rPr>
                            <w:rFonts w:ascii="仿宋" w:hAnsi="仿宋" w:eastAsia="仿宋"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rFonts w:ascii="仿宋" w:hAnsi="仿宋" w:eastAsia="仿宋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/>
                            <w:sz w:val="24"/>
                            <w:szCs w:val="24"/>
                          </w:rPr>
                          <w:t>－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64"/>
      </w:pPr>
      <w:r>
        <w:separator/>
      </w:r>
    </w:p>
  </w:footnote>
  <w:footnote w:type="continuationSeparator" w:id="1">
    <w:p>
      <w:pPr>
        <w:spacing w:line="240" w:lineRule="auto"/>
        <w:ind w:firstLine="66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8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8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kNDU4ZWExZTAxN2FmMmZmZDE5M2I1NDY2NzQwNzEifQ=="/>
  </w:docVars>
  <w:rsids>
    <w:rsidRoot w:val="4545689C"/>
    <w:rsid w:val="00077D9F"/>
    <w:rsid w:val="0013521D"/>
    <w:rsid w:val="00195D2A"/>
    <w:rsid w:val="004A7879"/>
    <w:rsid w:val="004C4760"/>
    <w:rsid w:val="00535AB4"/>
    <w:rsid w:val="00620E7E"/>
    <w:rsid w:val="00670485"/>
    <w:rsid w:val="006712A5"/>
    <w:rsid w:val="00693AC3"/>
    <w:rsid w:val="006C70B6"/>
    <w:rsid w:val="006D7A1A"/>
    <w:rsid w:val="00756BE7"/>
    <w:rsid w:val="007B096D"/>
    <w:rsid w:val="00833E2A"/>
    <w:rsid w:val="00876BB0"/>
    <w:rsid w:val="00972781"/>
    <w:rsid w:val="0097698C"/>
    <w:rsid w:val="00A4504E"/>
    <w:rsid w:val="00AF6664"/>
    <w:rsid w:val="00D60C01"/>
    <w:rsid w:val="00DA53A3"/>
    <w:rsid w:val="00DB3425"/>
    <w:rsid w:val="00EA1D50"/>
    <w:rsid w:val="00F11E34"/>
    <w:rsid w:val="00F26823"/>
    <w:rsid w:val="00FB3885"/>
    <w:rsid w:val="01E5529D"/>
    <w:rsid w:val="024474C7"/>
    <w:rsid w:val="0370464D"/>
    <w:rsid w:val="05DF6D3B"/>
    <w:rsid w:val="063522A9"/>
    <w:rsid w:val="07A00481"/>
    <w:rsid w:val="08794B84"/>
    <w:rsid w:val="0919530A"/>
    <w:rsid w:val="092C4002"/>
    <w:rsid w:val="0A6A1577"/>
    <w:rsid w:val="0DF54CD9"/>
    <w:rsid w:val="0F025AA6"/>
    <w:rsid w:val="0F0E17B2"/>
    <w:rsid w:val="0FF92D67"/>
    <w:rsid w:val="11556731"/>
    <w:rsid w:val="12CC5D44"/>
    <w:rsid w:val="12FE1C75"/>
    <w:rsid w:val="130A0E66"/>
    <w:rsid w:val="160B0067"/>
    <w:rsid w:val="168B7CC4"/>
    <w:rsid w:val="16915190"/>
    <w:rsid w:val="1C2F10F1"/>
    <w:rsid w:val="1C81542F"/>
    <w:rsid w:val="1DB90BE4"/>
    <w:rsid w:val="206E043A"/>
    <w:rsid w:val="214724CC"/>
    <w:rsid w:val="22813324"/>
    <w:rsid w:val="243948BB"/>
    <w:rsid w:val="247E35EF"/>
    <w:rsid w:val="24A26904"/>
    <w:rsid w:val="25001F44"/>
    <w:rsid w:val="29B10E51"/>
    <w:rsid w:val="2C127DD2"/>
    <w:rsid w:val="2C787FF1"/>
    <w:rsid w:val="30D616E4"/>
    <w:rsid w:val="31DF28D3"/>
    <w:rsid w:val="33D95773"/>
    <w:rsid w:val="357E00EC"/>
    <w:rsid w:val="38AF27C6"/>
    <w:rsid w:val="39AB6B98"/>
    <w:rsid w:val="3A8F74D3"/>
    <w:rsid w:val="3CD1435A"/>
    <w:rsid w:val="3E083C62"/>
    <w:rsid w:val="4151047D"/>
    <w:rsid w:val="427224E4"/>
    <w:rsid w:val="43921441"/>
    <w:rsid w:val="44B33691"/>
    <w:rsid w:val="450D04B6"/>
    <w:rsid w:val="4545689C"/>
    <w:rsid w:val="46163136"/>
    <w:rsid w:val="46874C3B"/>
    <w:rsid w:val="47084F73"/>
    <w:rsid w:val="47833F1C"/>
    <w:rsid w:val="48790E7B"/>
    <w:rsid w:val="4AD21572"/>
    <w:rsid w:val="4C324A6B"/>
    <w:rsid w:val="4D162D5A"/>
    <w:rsid w:val="4DE75F4D"/>
    <w:rsid w:val="503B71A6"/>
    <w:rsid w:val="512322CB"/>
    <w:rsid w:val="53887663"/>
    <w:rsid w:val="54EE6232"/>
    <w:rsid w:val="552D54C7"/>
    <w:rsid w:val="5697709C"/>
    <w:rsid w:val="580975EF"/>
    <w:rsid w:val="59235F70"/>
    <w:rsid w:val="5DA87473"/>
    <w:rsid w:val="5EC26016"/>
    <w:rsid w:val="5F5E1B86"/>
    <w:rsid w:val="60365FED"/>
    <w:rsid w:val="6105073B"/>
    <w:rsid w:val="61374EC3"/>
    <w:rsid w:val="623E62D1"/>
    <w:rsid w:val="63AA36D2"/>
    <w:rsid w:val="67F307F2"/>
    <w:rsid w:val="68EB3277"/>
    <w:rsid w:val="68F43267"/>
    <w:rsid w:val="69305845"/>
    <w:rsid w:val="6D8078FC"/>
    <w:rsid w:val="6D8930D2"/>
    <w:rsid w:val="707702A9"/>
    <w:rsid w:val="71330988"/>
    <w:rsid w:val="72ED4B29"/>
    <w:rsid w:val="77E872FF"/>
    <w:rsid w:val="7A2111EE"/>
    <w:rsid w:val="7BF07174"/>
    <w:rsid w:val="7DB24E67"/>
    <w:rsid w:val="7F132824"/>
    <w:rsid w:val="7F7D9CC2"/>
    <w:rsid w:val="7F91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99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590" w:lineRule="exact"/>
      <w:ind w:firstLine="640" w:firstLineChars="200"/>
      <w:jc w:val="both"/>
    </w:pPr>
    <w:rPr>
      <w:rFonts w:ascii="仿宋_GB2312" w:hAnsi="仿宋_GB2312" w:eastAsia="仿宋_GB2312" w:cstheme="minorBidi"/>
      <w:spacing w:val="6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keepLines/>
      <w:outlineLvl w:val="0"/>
    </w:pPr>
    <w:rPr>
      <w:rFonts w:ascii="黑体" w:hAnsi="黑体" w:eastAsia="黑体"/>
      <w:kern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楷体_GB2312" w:hAnsi="楷体_GB2312" w:eastAsia="楷体_GB231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outlineLvl w:val="2"/>
    </w:pPr>
    <w:rPr>
      <w:b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556"/>
    </w:pPr>
    <w:rPr>
      <w:rFonts w:cs="仿宋_GB2312"/>
      <w:kern w:val="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2"/>
    <w:qFormat/>
    <w:uiPriority w:val="99"/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footer"/>
    <w:basedOn w:val="1"/>
    <w:next w:val="10"/>
    <w:link w:val="25"/>
    <w:qFormat/>
    <w:uiPriority w:val="99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10">
    <w:name w:val="Normal (Web)"/>
    <w:basedOn w:val="1"/>
    <w:next w:val="1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11">
    <w:name w:val="index 9"/>
    <w:basedOn w:val="1"/>
    <w:next w:val="1"/>
    <w:qFormat/>
    <w:uiPriority w:val="0"/>
    <w:pPr>
      <w:ind w:left="3360"/>
    </w:p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line="360" w:lineRule="auto"/>
      <w:ind w:firstLine="0" w:firstLineChars="0"/>
    </w:pPr>
    <w:rPr>
      <w:rFonts w:eastAsia="黑体" w:cs="Times New Roman"/>
      <w:sz w:val="21"/>
    </w:rPr>
  </w:style>
  <w:style w:type="paragraph" w:styleId="14">
    <w:name w:val="toc 2"/>
    <w:basedOn w:val="1"/>
    <w:next w:val="1"/>
    <w:qFormat/>
    <w:uiPriority w:val="0"/>
    <w:pPr>
      <w:ind w:left="420" w:leftChars="200"/>
    </w:p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表头"/>
    <w:basedOn w:val="1"/>
    <w:qFormat/>
    <w:uiPriority w:val="0"/>
    <w:pPr>
      <w:adjustRightInd/>
      <w:spacing w:line="480" w:lineRule="exact"/>
      <w:ind w:firstLine="0" w:firstLineChars="0"/>
      <w:jc w:val="center"/>
    </w:pPr>
    <w:rPr>
      <w:rFonts w:ascii="黑体" w:hAnsi="黑体" w:eastAsia="黑体"/>
      <w:spacing w:val="0"/>
      <w:sz w:val="21"/>
    </w:rPr>
  </w:style>
  <w:style w:type="character" w:customStyle="1" w:styleId="19">
    <w:name w:val="font41"/>
    <w:basedOn w:val="17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20">
    <w:name w:val="表格标题"/>
    <w:basedOn w:val="2"/>
    <w:qFormat/>
    <w:uiPriority w:val="0"/>
    <w:pPr>
      <w:spacing w:before="60" w:after="120"/>
      <w:jc w:val="center"/>
    </w:pPr>
    <w:rPr>
      <w:rFonts w:ascii="Times New Roman" w:hAnsi="Times New Roman" w:eastAsia="黑体" w:cs="Times New Roman"/>
      <w:sz w:val="24"/>
      <w:szCs w:val="28"/>
    </w:rPr>
  </w:style>
  <w:style w:type="character" w:customStyle="1" w:styleId="21">
    <w:name w:val="font8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0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标题 1 字符"/>
    <w:link w:val="3"/>
    <w:qFormat/>
    <w:uiPriority w:val="0"/>
    <w:rPr>
      <w:rFonts w:ascii="黑体" w:hAnsi="黑体" w:eastAsia="黑体"/>
      <w:kern w:val="44"/>
    </w:rPr>
  </w:style>
  <w:style w:type="table" w:customStyle="1" w:styleId="24">
    <w:name w:val="网格型1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5">
    <w:name w:val="页脚 字符"/>
    <w:basedOn w:val="17"/>
    <w:link w:val="9"/>
    <w:qFormat/>
    <w:uiPriority w:val="99"/>
    <w:rPr>
      <w:rFonts w:ascii="仿宋_GB2312" w:hAnsi="仿宋_GB2312" w:eastAsia="仿宋_GB2312" w:cstheme="minorBidi"/>
      <w:spacing w:val="6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53</Pages>
  <Words>22337</Words>
  <Characters>23565</Characters>
  <Lines>200</Lines>
  <Paragraphs>56</Paragraphs>
  <TotalTime>2</TotalTime>
  <ScaleCrop>false</ScaleCrop>
  <LinksUpToDate>false</LinksUpToDate>
  <CharactersWithSpaces>24342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2022-09-30T18:50:00Z</dcterms:created>
  <dc:creator>run</dc:creator>
  <cp:lastModifiedBy>user</cp:lastModifiedBy>
  <dcterms:modified xsi:type="dcterms:W3CDTF">2025-02-28T12:08:11Z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8D78B9A2262A421DAB2E945B51A193EC</vt:lpwstr>
  </property>
</Properties>
</file>