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pPr>
    </w:p>
    <w:p>
      <w:pPr>
        <w:bidi w:val="0"/>
      </w:pPr>
    </w:p>
    <w:p>
      <w:pPr>
        <w:adjustRightInd/>
        <w:snapToGrid/>
        <w:spacing w:line="240" w:lineRule="auto"/>
        <w:ind w:firstLine="0" w:firstLineChars="0"/>
        <w:jc w:val="center"/>
        <w:rPr>
          <w:rFonts w:hint="eastAsia" w:ascii="方正小标宋简体" w:hAnsi="黑体" w:eastAsia="方正小标宋简体" w:cs="宋体"/>
          <w:kern w:val="0"/>
          <w:sz w:val="44"/>
          <w:szCs w:val="44"/>
          <w:lang w:val="en-US" w:eastAsia="zh-CN"/>
        </w:rPr>
      </w:pPr>
      <w:r>
        <w:rPr>
          <w:rFonts w:hint="eastAsia" w:ascii="方正小标宋简体" w:hAnsi="黑体" w:eastAsia="方正小标宋简体" w:cs="宋体"/>
          <w:kern w:val="0"/>
          <w:sz w:val="44"/>
          <w:szCs w:val="44"/>
          <w:lang w:val="en-US" w:eastAsia="zh-CN"/>
        </w:rPr>
        <w:t>绥阳县应急管理局</w:t>
      </w:r>
      <w:r>
        <w:rPr>
          <w:rFonts w:hint="eastAsia" w:ascii="方正小标宋简体" w:hAnsi="黑体" w:eastAsia="方正小标宋简体" w:cs="宋体"/>
          <w:kern w:val="0"/>
          <w:sz w:val="44"/>
          <w:szCs w:val="44"/>
        </w:rPr>
        <w:t>20</w:t>
      </w:r>
      <w:r>
        <w:rPr>
          <w:rFonts w:hint="eastAsia" w:ascii="方正小标宋简体" w:hAnsi="黑体" w:eastAsia="方正小标宋简体" w:cs="宋体"/>
          <w:kern w:val="0"/>
          <w:sz w:val="44"/>
          <w:szCs w:val="44"/>
          <w:lang w:val="en-US" w:eastAsia="zh-CN"/>
        </w:rPr>
        <w:t>21</w:t>
      </w:r>
      <w:r>
        <w:rPr>
          <w:rFonts w:hint="eastAsia" w:ascii="方正小标宋简体" w:hAnsi="黑体" w:eastAsia="方正小标宋简体" w:cs="宋体"/>
          <w:kern w:val="0"/>
          <w:sz w:val="44"/>
          <w:szCs w:val="44"/>
        </w:rPr>
        <w:t>年</w:t>
      </w:r>
      <w:r>
        <w:rPr>
          <w:rFonts w:hint="eastAsia" w:ascii="方正小标宋简体" w:hAnsi="黑体" w:eastAsia="方正小标宋简体" w:cs="宋体"/>
          <w:kern w:val="0"/>
          <w:sz w:val="44"/>
          <w:szCs w:val="44"/>
          <w:lang w:val="en-US" w:eastAsia="zh-CN"/>
        </w:rPr>
        <w:t>部门整体支出</w:t>
      </w:r>
    </w:p>
    <w:p>
      <w:pPr>
        <w:bidi w:val="0"/>
      </w:pPr>
    </w:p>
    <w:p>
      <w:pPr>
        <w:bidi w:val="0"/>
      </w:pPr>
    </w:p>
    <w:p>
      <w:pPr>
        <w:bidi w:val="0"/>
      </w:pPr>
    </w:p>
    <w:p>
      <w:pPr>
        <w:bidi w:val="0"/>
      </w:pPr>
    </w:p>
    <w:p>
      <w:pPr>
        <w:bidi w:val="0"/>
      </w:pPr>
    </w:p>
    <w:p>
      <w:pPr>
        <w:pStyle w:val="2"/>
      </w:pPr>
    </w:p>
    <w:p>
      <w:pPr>
        <w:bidi w:val="0"/>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方正小标宋简体" w:hAnsi="黑体" w:eastAsia="方正小标宋简体" w:cs="宋体"/>
          <w:kern w:val="0"/>
          <w:sz w:val="72"/>
          <w:szCs w:val="72"/>
        </w:rPr>
      </w:pPr>
      <w:r>
        <w:rPr>
          <w:rFonts w:hint="eastAsia" w:ascii="方正小标宋简体" w:hAnsi="黑体" w:eastAsia="方正小标宋简体" w:cs="宋体"/>
          <w:kern w:val="0"/>
          <w:sz w:val="72"/>
          <w:szCs w:val="72"/>
        </w:rPr>
        <w:t>绩效评价报告</w:t>
      </w:r>
    </w:p>
    <w:p>
      <w:pPr>
        <w:bidi w:val="0"/>
      </w:pPr>
    </w:p>
    <w:p>
      <w:pPr>
        <w:bidi w:val="0"/>
      </w:pPr>
    </w:p>
    <w:p>
      <w:pPr>
        <w:bidi w:val="0"/>
      </w:pPr>
    </w:p>
    <w:p>
      <w:pPr>
        <w:bidi w:val="0"/>
      </w:pPr>
    </w:p>
    <w:p>
      <w:pPr>
        <w:bidi w:val="0"/>
      </w:pPr>
    </w:p>
    <w:p>
      <w:pPr>
        <w:adjustRightInd/>
        <w:snapToGrid/>
        <w:spacing w:line="400" w:lineRule="exact"/>
        <w:ind w:firstLine="2520" w:firstLineChars="1000"/>
        <w:jc w:val="left"/>
        <w:rPr>
          <w:rFonts w:hint="default" w:ascii="黑体" w:hAnsi="黑体" w:eastAsia="黑体" w:cs="宋体"/>
          <w:kern w:val="0"/>
          <w:sz w:val="24"/>
          <w:szCs w:val="24"/>
          <w:lang w:val="en-US" w:eastAsia="zh-CN"/>
        </w:rPr>
      </w:pPr>
      <w:r>
        <w:rPr>
          <w:rFonts w:hint="eastAsia" w:ascii="黑体" w:hAnsi="黑体" w:eastAsia="黑体" w:cs="宋体"/>
          <w:kern w:val="0"/>
          <w:sz w:val="24"/>
          <w:szCs w:val="24"/>
        </w:rPr>
        <w:t>报告编号：QCJ-PJ-20</w:t>
      </w:r>
      <w:r>
        <w:rPr>
          <w:rFonts w:hint="eastAsia" w:ascii="黑体" w:hAnsi="黑体" w:eastAsia="黑体" w:cs="宋体"/>
          <w:kern w:val="0"/>
          <w:sz w:val="24"/>
          <w:szCs w:val="24"/>
          <w:lang w:val="en-US" w:eastAsia="zh-CN"/>
        </w:rPr>
        <w:t>22</w:t>
      </w:r>
      <w:r>
        <w:rPr>
          <w:rFonts w:hint="eastAsia" w:ascii="黑体" w:hAnsi="黑体" w:eastAsia="黑体" w:cs="宋体"/>
          <w:kern w:val="0"/>
          <w:sz w:val="24"/>
          <w:szCs w:val="24"/>
        </w:rPr>
        <w:t>-</w:t>
      </w:r>
      <w:r>
        <w:rPr>
          <w:rFonts w:hint="eastAsia" w:ascii="黑体" w:hAnsi="黑体" w:eastAsia="黑体" w:cs="宋体"/>
          <w:kern w:val="0"/>
          <w:sz w:val="24"/>
          <w:szCs w:val="24"/>
          <w:lang w:val="en-US" w:eastAsia="zh-CN"/>
        </w:rPr>
        <w:t>0918</w:t>
      </w:r>
    </w:p>
    <w:p>
      <w:pPr>
        <w:adjustRightInd/>
        <w:snapToGrid/>
        <w:spacing w:line="400" w:lineRule="exact"/>
        <w:ind w:firstLine="2520" w:firstLineChars="1000"/>
        <w:jc w:val="left"/>
        <w:rPr>
          <w:rFonts w:hint="default" w:ascii="黑体" w:hAnsi="黑体" w:eastAsia="黑体" w:cs="宋体"/>
          <w:kern w:val="0"/>
          <w:sz w:val="24"/>
          <w:szCs w:val="24"/>
          <w:lang w:val="en-US" w:eastAsia="zh-CN"/>
        </w:rPr>
      </w:pPr>
      <w:r>
        <w:rPr>
          <w:rFonts w:hint="eastAsia" w:ascii="黑体" w:hAnsi="黑体" w:eastAsia="黑体" w:cs="宋体"/>
          <w:kern w:val="0"/>
          <w:sz w:val="24"/>
          <w:szCs w:val="24"/>
        </w:rPr>
        <w:t>委托单位：</w:t>
      </w:r>
      <w:r>
        <w:rPr>
          <w:rFonts w:hint="eastAsia" w:ascii="黑体" w:hAnsi="黑体" w:eastAsia="黑体" w:cs="宋体"/>
          <w:kern w:val="0"/>
          <w:sz w:val="24"/>
          <w:szCs w:val="24"/>
          <w:lang w:val="en-US" w:eastAsia="zh-CN"/>
        </w:rPr>
        <w:t>绥阳县财政局</w:t>
      </w:r>
    </w:p>
    <w:p>
      <w:pPr>
        <w:adjustRightInd/>
        <w:snapToGrid/>
        <w:spacing w:line="400" w:lineRule="exact"/>
        <w:ind w:firstLine="2520" w:firstLineChars="1000"/>
        <w:jc w:val="left"/>
        <w:rPr>
          <w:rFonts w:hint="default" w:ascii="黑体" w:hAnsi="黑体" w:eastAsia="黑体" w:cs="宋体"/>
          <w:kern w:val="0"/>
          <w:sz w:val="24"/>
          <w:szCs w:val="24"/>
          <w:lang w:val="en-US" w:eastAsia="zh-CN"/>
        </w:rPr>
      </w:pPr>
      <w:r>
        <w:rPr>
          <w:rFonts w:hint="eastAsia" w:ascii="黑体" w:hAnsi="黑体" w:eastAsia="黑体" w:cs="宋体"/>
          <w:kern w:val="0"/>
          <w:sz w:val="24"/>
          <w:szCs w:val="24"/>
        </w:rPr>
        <w:t>评价机构：</w:t>
      </w:r>
      <w:r>
        <w:rPr>
          <w:rFonts w:hint="eastAsia" w:ascii="黑体" w:hAnsi="黑体" w:eastAsia="黑体" w:cs="宋体"/>
          <w:kern w:val="0"/>
          <w:sz w:val="24"/>
          <w:szCs w:val="24"/>
          <w:lang w:val="en-US" w:eastAsia="zh-CN"/>
        </w:rPr>
        <w:t>广州业越管理咨询有限公司</w:t>
      </w:r>
    </w:p>
    <w:p>
      <w:pPr>
        <w:adjustRightInd/>
        <w:snapToGrid/>
        <w:spacing w:line="400" w:lineRule="exact"/>
        <w:ind w:firstLine="2520" w:firstLineChars="1000"/>
        <w:jc w:val="left"/>
        <w:rPr>
          <w:rFonts w:hint="eastAsia" w:ascii="黑体" w:hAnsi="黑体" w:eastAsia="黑体" w:cs="宋体"/>
          <w:kern w:val="0"/>
          <w:sz w:val="24"/>
          <w:szCs w:val="24"/>
        </w:rPr>
      </w:pPr>
      <w:r>
        <w:rPr>
          <w:rFonts w:hint="eastAsia" w:ascii="黑体" w:hAnsi="黑体" w:eastAsia="黑体" w:cs="宋体"/>
          <w:kern w:val="0"/>
          <w:sz w:val="24"/>
          <w:szCs w:val="24"/>
        </w:rPr>
        <w:t>报告时间：20</w:t>
      </w:r>
      <w:r>
        <w:rPr>
          <w:rFonts w:hint="eastAsia" w:ascii="黑体" w:hAnsi="黑体" w:eastAsia="黑体" w:cs="宋体"/>
          <w:kern w:val="0"/>
          <w:sz w:val="24"/>
          <w:szCs w:val="24"/>
          <w:lang w:val="en-US" w:eastAsia="zh-CN"/>
        </w:rPr>
        <w:t>22</w:t>
      </w:r>
      <w:r>
        <w:rPr>
          <w:rFonts w:hint="eastAsia" w:ascii="黑体" w:hAnsi="黑体" w:eastAsia="黑体" w:cs="宋体"/>
          <w:kern w:val="0"/>
          <w:sz w:val="24"/>
          <w:szCs w:val="24"/>
        </w:rPr>
        <w:t>年</w:t>
      </w:r>
      <w:r>
        <w:rPr>
          <w:rFonts w:hint="eastAsia" w:ascii="黑体" w:hAnsi="黑体" w:eastAsia="黑体" w:cs="宋体"/>
          <w:kern w:val="0"/>
          <w:sz w:val="24"/>
          <w:szCs w:val="24"/>
          <w:lang w:val="en-US" w:eastAsia="zh-CN"/>
        </w:rPr>
        <w:t>10</w:t>
      </w:r>
      <w:r>
        <w:rPr>
          <w:rFonts w:hint="eastAsia" w:ascii="黑体" w:hAnsi="黑体" w:eastAsia="黑体" w:cs="宋体"/>
          <w:kern w:val="0"/>
          <w:sz w:val="24"/>
          <w:szCs w:val="24"/>
        </w:rPr>
        <w:t>月</w:t>
      </w:r>
      <w:r>
        <w:rPr>
          <w:rFonts w:hint="eastAsia" w:ascii="黑体" w:hAnsi="黑体" w:eastAsia="黑体" w:cs="宋体"/>
          <w:kern w:val="0"/>
          <w:sz w:val="24"/>
          <w:szCs w:val="24"/>
          <w:lang w:val="en-US" w:eastAsia="zh-CN"/>
        </w:rPr>
        <w:t>15</w:t>
      </w:r>
      <w:r>
        <w:rPr>
          <w:rFonts w:hint="eastAsia" w:ascii="黑体" w:hAnsi="黑体" w:eastAsia="黑体" w:cs="宋体"/>
          <w:kern w:val="0"/>
          <w:sz w:val="24"/>
          <w:szCs w:val="24"/>
        </w:rPr>
        <w:t>日</w:t>
      </w:r>
    </w:p>
    <w:p>
      <w:pPr>
        <w:adjustRightInd/>
        <w:snapToGrid/>
        <w:spacing w:line="240" w:lineRule="auto"/>
        <w:ind w:firstLine="0" w:firstLineChars="0"/>
        <w:rPr>
          <w:rFonts w:hint="eastAsia" w:ascii="黑体" w:hAnsi="宋体" w:eastAsia="黑体" w:cs="黑体"/>
          <w:color w:val="000000"/>
          <w:kern w:val="0"/>
          <w:sz w:val="24"/>
        </w:rPr>
        <w:sectPr>
          <w:headerReference r:id="rId3" w:type="default"/>
          <w:pgSz w:w="11906" w:h="16838"/>
          <w:pgMar w:top="1984" w:right="1474" w:bottom="1871" w:left="1474" w:header="851" w:footer="992" w:gutter="0"/>
          <w:pgNumType w:fmt="upperRoman"/>
          <w:cols w:space="425" w:num="1"/>
          <w:docGrid w:type="lines" w:linePitch="312" w:charSpace="0"/>
        </w:sectPr>
      </w:pPr>
    </w:p>
    <w:tbl>
      <w:tblPr>
        <w:tblStyle w:val="23"/>
        <w:tblpPr w:leftFromText="180" w:rightFromText="180" w:vertAnchor="text" w:horzAnchor="page" w:tblpX="1786" w:tblpY="-79"/>
        <w:tblOverlap w:val="never"/>
        <w:tblW w:w="8983" w:type="dxa"/>
        <w:tblInd w:w="0" w:type="dxa"/>
        <w:tblLayout w:type="fixed"/>
        <w:tblCellMar>
          <w:top w:w="15" w:type="dxa"/>
          <w:left w:w="15" w:type="dxa"/>
          <w:bottom w:w="15" w:type="dxa"/>
          <w:right w:w="15" w:type="dxa"/>
        </w:tblCellMar>
      </w:tblPr>
      <w:tblGrid>
        <w:gridCol w:w="1517"/>
        <w:gridCol w:w="728"/>
        <w:gridCol w:w="762"/>
        <w:gridCol w:w="1484"/>
        <w:gridCol w:w="4"/>
        <w:gridCol w:w="1500"/>
        <w:gridCol w:w="399"/>
        <w:gridCol w:w="343"/>
        <w:gridCol w:w="345"/>
        <w:gridCol w:w="649"/>
        <w:gridCol w:w="1252"/>
      </w:tblGrid>
      <w:tr>
        <w:tblPrEx>
          <w:tblCellMar>
            <w:top w:w="15" w:type="dxa"/>
            <w:left w:w="15" w:type="dxa"/>
            <w:bottom w:w="15" w:type="dxa"/>
            <w:right w:w="15" w:type="dxa"/>
          </w:tblCellMar>
        </w:tblPrEx>
        <w:trPr>
          <w:trHeight w:val="301" w:hRule="atLeast"/>
        </w:trPr>
        <w:tc>
          <w:tcPr>
            <w:tcW w:w="8983" w:type="dxa"/>
            <w:gridSpan w:val="11"/>
            <w:noWrap w:val="0"/>
            <w:vAlign w:val="center"/>
          </w:tcPr>
          <w:p>
            <w:pPr>
              <w:adjustRightInd/>
              <w:snapToGrid/>
              <w:spacing w:line="240" w:lineRule="auto"/>
              <w:ind w:firstLine="0" w:firstLineChars="0"/>
              <w:rPr>
                <w:rFonts w:hint="eastAsia" w:ascii="黑体" w:hAnsi="宋体" w:eastAsia="黑体" w:cs="黑体"/>
                <w:color w:val="000000"/>
                <w:sz w:val="24"/>
                <w:lang w:val="en-US" w:eastAsia="zh-CN"/>
              </w:rPr>
            </w:pPr>
            <w:r>
              <w:rPr>
                <w:rFonts w:hint="eastAsia" w:ascii="黑体" w:hAnsi="宋体" w:eastAsia="黑体" w:cs="黑体"/>
                <w:color w:val="000000"/>
                <w:kern w:val="0"/>
                <w:sz w:val="24"/>
              </w:rPr>
              <w:t>评价分值：8</w:t>
            </w:r>
            <w:r>
              <w:rPr>
                <w:rFonts w:hint="eastAsia" w:ascii="黑体" w:hAnsi="宋体" w:eastAsia="黑体" w:cs="黑体"/>
                <w:color w:val="000000"/>
                <w:kern w:val="0"/>
                <w:sz w:val="24"/>
                <w:lang w:val="en-US" w:eastAsia="zh-CN"/>
              </w:rPr>
              <w:t>8.41</w:t>
            </w:r>
            <w:r>
              <w:rPr>
                <w:rFonts w:hint="eastAsia" w:ascii="黑体" w:hAnsi="宋体" w:eastAsia="黑体" w:cs="黑体"/>
                <w:color w:val="000000"/>
                <w:kern w:val="0"/>
                <w:sz w:val="24"/>
              </w:rPr>
              <w:t xml:space="preserve"> </w:t>
            </w:r>
            <w:r>
              <w:rPr>
                <w:rStyle w:val="42"/>
                <w:rFonts w:hint="eastAsia" w:hAnsi="宋体"/>
              </w:rPr>
              <w:t xml:space="preserve">     </w:t>
            </w:r>
            <w:r>
              <w:rPr>
                <w:rFonts w:hint="eastAsia" w:ascii="黑体" w:hAnsi="宋体" w:eastAsia="黑体" w:cs="黑体"/>
                <w:color w:val="000000"/>
                <w:kern w:val="0"/>
                <w:sz w:val="24"/>
              </w:rPr>
              <w:t>评价等级：</w:t>
            </w:r>
            <w:r>
              <w:rPr>
                <w:rFonts w:ascii="黑体" w:hAnsi="宋体" w:eastAsia="黑体" w:cs="黑体"/>
                <w:color w:val="000000"/>
                <w:sz w:val="24"/>
              </w:rPr>
              <w:t xml:space="preserve"> </w:t>
            </w:r>
            <w:r>
              <w:rPr>
                <w:rFonts w:hint="eastAsia" w:ascii="黑体" w:hAnsi="宋体" w:eastAsia="黑体" w:cs="黑体"/>
                <w:color w:val="000000"/>
                <w:sz w:val="24"/>
                <w:lang w:val="en-US" w:eastAsia="zh-CN"/>
              </w:rPr>
              <w:t>良</w:t>
            </w:r>
          </w:p>
        </w:tc>
      </w:tr>
      <w:tr>
        <w:tblPrEx>
          <w:tblCellMar>
            <w:top w:w="15" w:type="dxa"/>
            <w:left w:w="15" w:type="dxa"/>
            <w:bottom w:w="15" w:type="dxa"/>
            <w:right w:w="15" w:type="dxa"/>
          </w:tblCellMar>
        </w:tblPrEx>
        <w:trPr>
          <w:trHeight w:val="299" w:hRule="atLeast"/>
        </w:trPr>
        <w:tc>
          <w:tcPr>
            <w:tcW w:w="8983" w:type="dxa"/>
            <w:gridSpan w:val="11"/>
            <w:noWrap w:val="0"/>
            <w:vAlign w:val="center"/>
          </w:tcPr>
          <w:p>
            <w:pPr>
              <w:widowControl/>
              <w:adjustRightInd/>
              <w:snapToGrid/>
              <w:spacing w:line="240" w:lineRule="auto"/>
              <w:ind w:firstLine="0" w:firstLineChars="0"/>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概   要</w:t>
            </w:r>
          </w:p>
        </w:tc>
      </w:tr>
      <w:tr>
        <w:tblPrEx>
          <w:tblCellMar>
            <w:top w:w="15" w:type="dxa"/>
            <w:left w:w="15" w:type="dxa"/>
            <w:bottom w:w="15" w:type="dxa"/>
            <w:right w:w="15" w:type="dxa"/>
          </w:tblCellMar>
        </w:tblPrEx>
        <w:trPr>
          <w:trHeight w:val="330" w:hRule="atLeast"/>
        </w:trPr>
        <w:tc>
          <w:tcPr>
            <w:tcW w:w="8983" w:type="dxa"/>
            <w:gridSpan w:val="11"/>
            <w:noWrap w:val="0"/>
            <w:vAlign w:val="center"/>
          </w:tcPr>
          <w:p>
            <w:pPr>
              <w:widowControl/>
              <w:adjustRightInd/>
              <w:snapToGrid/>
              <w:spacing w:line="240" w:lineRule="auto"/>
              <w:ind w:firstLine="0" w:firstLineChars="0"/>
              <w:jc w:val="left"/>
              <w:textAlignment w:val="center"/>
              <w:rPr>
                <w:rFonts w:ascii="黑体" w:hAnsi="黑体" w:eastAsia="黑体" w:cs="仿宋_GB2312"/>
                <w:color w:val="000000"/>
                <w:sz w:val="22"/>
              </w:rPr>
            </w:pPr>
            <w:r>
              <w:rPr>
                <w:rFonts w:hint="eastAsia" w:ascii="黑体" w:hAnsi="黑体" w:eastAsia="黑体" w:cs="仿宋_GB2312"/>
                <w:color w:val="000000"/>
                <w:kern w:val="0"/>
                <w:sz w:val="22"/>
              </w:rPr>
              <w:t xml:space="preserve">评价机构全称（盖章）：                                       </w:t>
            </w:r>
            <w:r>
              <w:rPr>
                <w:rFonts w:hint="eastAsia" w:ascii="黑体" w:hAnsi="黑体" w:eastAsia="黑体" w:cs="仿宋_GB2312"/>
                <w:color w:val="000000"/>
                <w:kern w:val="0"/>
                <w:sz w:val="22"/>
                <w:lang w:val="en-US" w:eastAsia="zh-CN"/>
              </w:rPr>
              <w:t xml:space="preserve"> </w:t>
            </w:r>
            <w:r>
              <w:rPr>
                <w:rFonts w:hint="eastAsia" w:ascii="黑体" w:hAnsi="黑体" w:eastAsia="黑体" w:cs="仿宋_GB2312"/>
                <w:color w:val="000000"/>
                <w:kern w:val="0"/>
                <w:sz w:val="22"/>
              </w:rPr>
              <w:t>单位：万元、个</w:t>
            </w:r>
          </w:p>
        </w:tc>
      </w:tr>
      <w:tr>
        <w:tblPrEx>
          <w:tblCellMar>
            <w:top w:w="15" w:type="dxa"/>
            <w:left w:w="15" w:type="dxa"/>
            <w:bottom w:w="15" w:type="dxa"/>
            <w:right w:w="15" w:type="dxa"/>
          </w:tblCellMar>
        </w:tblPrEx>
        <w:trPr>
          <w:trHeight w:val="359" w:hRule="atLeast"/>
        </w:trPr>
        <w:tc>
          <w:tcPr>
            <w:tcW w:w="1517"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项目名称</w:t>
            </w:r>
          </w:p>
        </w:tc>
        <w:tc>
          <w:tcPr>
            <w:tcW w:w="487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left"/>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绥阳县应急管理局</w:t>
            </w:r>
            <w:r>
              <w:rPr>
                <w:rFonts w:hint="eastAsia" w:ascii="仿宋_GB2312" w:hAnsi="宋体" w:eastAsia="仿宋_GB2312" w:cs="仿宋_GB2312"/>
                <w:color w:val="000000"/>
                <w:sz w:val="20"/>
                <w:szCs w:val="20"/>
                <w:lang w:val="en-US" w:eastAsia="zh-CN"/>
              </w:rPr>
              <w:t>20</w:t>
            </w:r>
            <w:r>
              <w:rPr>
                <w:rFonts w:hint="eastAsia" w:hAnsi="宋体" w:cs="仿宋_GB2312"/>
                <w:color w:val="000000"/>
                <w:sz w:val="20"/>
                <w:szCs w:val="20"/>
                <w:lang w:val="en-US" w:eastAsia="zh-CN"/>
              </w:rPr>
              <w:t>21</w:t>
            </w:r>
            <w:r>
              <w:rPr>
                <w:rFonts w:hint="eastAsia" w:ascii="仿宋_GB2312" w:hAnsi="宋体" w:eastAsia="仿宋_GB2312" w:cs="仿宋_GB2312"/>
                <w:color w:val="000000"/>
                <w:sz w:val="20"/>
                <w:szCs w:val="20"/>
                <w:lang w:val="en-US" w:eastAsia="zh-CN"/>
              </w:rPr>
              <w:t>年部门整体支出绩效评价</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2021年</w:t>
            </w:r>
          </w:p>
        </w:tc>
      </w:tr>
      <w:tr>
        <w:tblPrEx>
          <w:tblCellMar>
            <w:top w:w="15" w:type="dxa"/>
            <w:left w:w="15" w:type="dxa"/>
            <w:bottom w:w="15" w:type="dxa"/>
            <w:right w:w="15" w:type="dxa"/>
          </w:tblCellMar>
        </w:tblPrEx>
        <w:trPr>
          <w:trHeight w:val="339" w:hRule="atLeast"/>
        </w:trPr>
        <w:tc>
          <w:tcPr>
            <w:tcW w:w="1517"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财政主管</w:t>
            </w:r>
            <w:r>
              <w:rPr>
                <w:rFonts w:hint="eastAsia" w:ascii="黑体" w:hAnsi="宋体" w:eastAsia="黑体" w:cs="黑体"/>
                <w:color w:val="000000"/>
                <w:kern w:val="0"/>
                <w:sz w:val="20"/>
                <w:szCs w:val="20"/>
                <w:lang w:val="en-US" w:eastAsia="zh-CN"/>
              </w:rPr>
              <w:t>股</w:t>
            </w:r>
            <w:r>
              <w:rPr>
                <w:rFonts w:hint="eastAsia" w:ascii="黑体" w:hAnsi="宋体" w:eastAsia="黑体" w:cs="黑体"/>
                <w:color w:val="000000"/>
                <w:kern w:val="0"/>
                <w:sz w:val="20"/>
                <w:szCs w:val="20"/>
              </w:rPr>
              <w:t>室</w:t>
            </w:r>
          </w:p>
        </w:tc>
        <w:tc>
          <w:tcPr>
            <w:tcW w:w="297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rPr>
            </w:pPr>
            <w:r>
              <w:rPr>
                <w:rFonts w:hint="eastAsia" w:hAnsi="宋体" w:cs="仿宋_GB2312"/>
                <w:color w:val="000000"/>
                <w:sz w:val="20"/>
                <w:szCs w:val="20"/>
                <w:lang w:val="en-US" w:eastAsia="zh-CN"/>
              </w:rPr>
              <w:t>绩效评估股</w:t>
            </w:r>
          </w:p>
        </w:tc>
        <w:tc>
          <w:tcPr>
            <w:tcW w:w="189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杨开良13885289268</w:t>
            </w:r>
          </w:p>
        </w:tc>
      </w:tr>
      <w:tr>
        <w:tblPrEx>
          <w:tblCellMar>
            <w:top w:w="15" w:type="dxa"/>
            <w:left w:w="15" w:type="dxa"/>
            <w:bottom w:w="15" w:type="dxa"/>
            <w:right w:w="15" w:type="dxa"/>
          </w:tblCellMar>
        </w:tblPrEx>
        <w:trPr>
          <w:trHeight w:val="291" w:hRule="atLeast"/>
        </w:trPr>
        <w:tc>
          <w:tcPr>
            <w:tcW w:w="1517"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主管部门</w:t>
            </w:r>
          </w:p>
        </w:tc>
        <w:tc>
          <w:tcPr>
            <w:tcW w:w="297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仿宋_GB2312" w:hAnsi="宋体" w:eastAsia="仿宋_GB2312" w:cs="仿宋_GB2312"/>
                <w:color w:val="000000"/>
                <w:sz w:val="20"/>
                <w:szCs w:val="20"/>
              </w:rPr>
            </w:pPr>
            <w:r>
              <w:rPr>
                <w:rFonts w:hint="eastAsia" w:hAnsi="宋体" w:cs="仿宋_GB2312"/>
                <w:color w:val="000000"/>
                <w:sz w:val="20"/>
                <w:szCs w:val="20"/>
                <w:lang w:val="en-US" w:eastAsia="zh-CN"/>
              </w:rPr>
              <w:t>绥阳县应急管理局</w:t>
            </w:r>
          </w:p>
        </w:tc>
        <w:tc>
          <w:tcPr>
            <w:tcW w:w="189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熊国霞15121271188</w:t>
            </w:r>
          </w:p>
        </w:tc>
      </w:tr>
      <w:tr>
        <w:tblPrEx>
          <w:tblCellMar>
            <w:top w:w="15" w:type="dxa"/>
            <w:left w:w="15" w:type="dxa"/>
            <w:bottom w:w="15" w:type="dxa"/>
            <w:right w:w="15" w:type="dxa"/>
          </w:tblCellMar>
        </w:tblPrEx>
        <w:trPr>
          <w:trHeight w:val="480" w:hRule="atLeast"/>
        </w:trPr>
        <w:tc>
          <w:tcPr>
            <w:tcW w:w="1517"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lang w:eastAsia="zh-CN"/>
              </w:rPr>
              <w:t>部门总收</w:t>
            </w:r>
            <w:r>
              <w:rPr>
                <w:rFonts w:hint="eastAsia" w:ascii="黑体" w:hAnsi="宋体" w:eastAsia="黑体" w:cs="黑体"/>
                <w:color w:val="000000"/>
                <w:kern w:val="0"/>
                <w:sz w:val="20"/>
                <w:szCs w:val="20"/>
              </w:rPr>
              <w:t>入</w:t>
            </w:r>
          </w:p>
        </w:tc>
        <w:tc>
          <w:tcPr>
            <w:tcW w:w="14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1762.10</w:t>
            </w:r>
          </w:p>
        </w:tc>
        <w:tc>
          <w:tcPr>
            <w:tcW w:w="14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sz w:val="20"/>
                <w:szCs w:val="20"/>
                <w:lang w:eastAsia="zh-CN"/>
              </w:rPr>
              <w:t>财政拨款收入</w:t>
            </w:r>
          </w:p>
        </w:tc>
        <w:tc>
          <w:tcPr>
            <w:tcW w:w="189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1762.10</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sz w:val="20"/>
                <w:szCs w:val="20"/>
                <w:lang w:eastAsia="zh-CN"/>
              </w:rPr>
              <w:t>其他收入</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0</w:t>
            </w:r>
          </w:p>
        </w:tc>
      </w:tr>
      <w:tr>
        <w:tblPrEx>
          <w:tblCellMar>
            <w:top w:w="15" w:type="dxa"/>
            <w:left w:w="15" w:type="dxa"/>
            <w:bottom w:w="15" w:type="dxa"/>
            <w:right w:w="15" w:type="dxa"/>
          </w:tblCellMar>
        </w:tblPrEx>
        <w:trPr>
          <w:trHeight w:val="540" w:hRule="atLeast"/>
        </w:trPr>
        <w:tc>
          <w:tcPr>
            <w:tcW w:w="1517"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kern w:val="0"/>
                <w:sz w:val="20"/>
                <w:szCs w:val="20"/>
                <w:lang w:eastAsia="zh-CN"/>
              </w:rPr>
              <w:t>部门总支出</w:t>
            </w:r>
          </w:p>
        </w:tc>
        <w:tc>
          <w:tcPr>
            <w:tcW w:w="14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1526.75</w:t>
            </w:r>
          </w:p>
        </w:tc>
        <w:tc>
          <w:tcPr>
            <w:tcW w:w="14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kern w:val="0"/>
                <w:sz w:val="20"/>
                <w:szCs w:val="20"/>
                <w:lang w:eastAsia="zh-CN"/>
              </w:rPr>
              <w:t>基本支出</w:t>
            </w:r>
          </w:p>
        </w:tc>
        <w:tc>
          <w:tcPr>
            <w:tcW w:w="189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501.55</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sz w:val="20"/>
                <w:szCs w:val="20"/>
                <w:lang w:eastAsia="zh-CN"/>
              </w:rPr>
            </w:pPr>
            <w:r>
              <w:rPr>
                <w:rFonts w:hint="eastAsia" w:ascii="黑体" w:hAnsi="宋体" w:eastAsia="黑体" w:cs="黑体"/>
                <w:color w:val="000000"/>
                <w:kern w:val="0"/>
                <w:sz w:val="20"/>
                <w:szCs w:val="20"/>
                <w:lang w:eastAsia="zh-CN"/>
              </w:rPr>
              <w:t>项目支出</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1025.20</w:t>
            </w:r>
          </w:p>
        </w:tc>
      </w:tr>
      <w:tr>
        <w:tblPrEx>
          <w:tblCellMar>
            <w:top w:w="15" w:type="dxa"/>
            <w:left w:w="15" w:type="dxa"/>
            <w:bottom w:w="15" w:type="dxa"/>
            <w:right w:w="15" w:type="dxa"/>
          </w:tblCellMar>
        </w:tblPrEx>
        <w:trPr>
          <w:trHeight w:val="480" w:hRule="atLeast"/>
        </w:trPr>
        <w:tc>
          <w:tcPr>
            <w:tcW w:w="1517"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lang w:eastAsia="zh-CN"/>
              </w:rPr>
              <w:t>预算</w:t>
            </w:r>
            <w:r>
              <w:rPr>
                <w:rFonts w:hint="eastAsia" w:ascii="黑体" w:hAnsi="宋体" w:eastAsia="黑体" w:cs="黑体"/>
                <w:color w:val="000000"/>
                <w:kern w:val="0"/>
                <w:sz w:val="20"/>
                <w:szCs w:val="20"/>
              </w:rPr>
              <w:t>项目数</w:t>
            </w:r>
          </w:p>
        </w:tc>
        <w:tc>
          <w:tcPr>
            <w:tcW w:w="14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8</w:t>
            </w:r>
          </w:p>
        </w:tc>
        <w:tc>
          <w:tcPr>
            <w:tcW w:w="14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抽查项目数</w:t>
            </w:r>
          </w:p>
        </w:tc>
        <w:tc>
          <w:tcPr>
            <w:tcW w:w="189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3</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lang w:eastAsia="zh-CN"/>
              </w:rPr>
              <w:t>项目</w:t>
            </w:r>
            <w:r>
              <w:rPr>
                <w:rFonts w:hint="eastAsia" w:ascii="黑体" w:hAnsi="宋体" w:eastAsia="黑体" w:cs="黑体"/>
                <w:color w:val="000000"/>
                <w:kern w:val="0"/>
                <w:sz w:val="20"/>
                <w:szCs w:val="20"/>
              </w:rPr>
              <w:t>抽查占比</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adjustRightInd/>
              <w:snapToGrid/>
              <w:spacing w:line="240" w:lineRule="auto"/>
              <w:ind w:firstLine="0" w:firstLineChars="0"/>
              <w:jc w:val="center"/>
              <w:rPr>
                <w:rFonts w:hint="default" w:ascii="宋体" w:hAnsi="宋体" w:eastAsia="宋体" w:cs="宋体"/>
                <w:color w:val="000000"/>
                <w:sz w:val="20"/>
                <w:szCs w:val="20"/>
                <w:lang w:val="en-US" w:eastAsia="zh-CN"/>
              </w:rPr>
            </w:pPr>
            <w:r>
              <w:rPr>
                <w:rFonts w:hint="eastAsia" w:hAnsi="宋体" w:cs="仿宋_GB2312"/>
                <w:color w:val="000000"/>
                <w:sz w:val="20"/>
                <w:szCs w:val="20"/>
                <w:lang w:val="en-US" w:eastAsia="zh-CN"/>
              </w:rPr>
              <w:t>37.5%</w:t>
            </w:r>
          </w:p>
        </w:tc>
      </w:tr>
      <w:tr>
        <w:tblPrEx>
          <w:tblCellMar>
            <w:top w:w="15" w:type="dxa"/>
            <w:left w:w="15" w:type="dxa"/>
            <w:bottom w:w="15" w:type="dxa"/>
            <w:right w:w="15" w:type="dxa"/>
          </w:tblCellMar>
        </w:tblPrEx>
        <w:trPr>
          <w:trHeight w:val="494" w:hRule="atLeast"/>
        </w:trPr>
        <w:tc>
          <w:tcPr>
            <w:tcW w:w="1517" w:type="dxa"/>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预算项目支出</w:t>
            </w:r>
          </w:p>
        </w:tc>
        <w:tc>
          <w:tcPr>
            <w:tcW w:w="14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1025.20</w:t>
            </w:r>
          </w:p>
        </w:tc>
        <w:tc>
          <w:tcPr>
            <w:tcW w:w="14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kern w:val="0"/>
                <w:sz w:val="20"/>
                <w:szCs w:val="20"/>
                <w:lang w:eastAsia="zh-CN"/>
              </w:rPr>
            </w:pPr>
            <w:r>
              <w:rPr>
                <w:rFonts w:hint="eastAsia" w:ascii="黑体" w:hAnsi="宋体" w:eastAsia="黑体" w:cs="黑体"/>
                <w:color w:val="000000"/>
                <w:kern w:val="0"/>
                <w:sz w:val="20"/>
                <w:szCs w:val="20"/>
                <w:lang w:eastAsia="zh-CN"/>
              </w:rPr>
              <w:t>抽查项目资金数</w:t>
            </w:r>
          </w:p>
        </w:tc>
        <w:tc>
          <w:tcPr>
            <w:tcW w:w="189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default" w:ascii="仿宋_GB2312" w:hAnsi="宋体" w:eastAsia="仿宋_GB2312" w:cs="仿宋_GB2312"/>
                <w:color w:val="000000"/>
                <w:sz w:val="20"/>
                <w:szCs w:val="20"/>
                <w:lang w:val="en-US" w:eastAsia="zh-CN"/>
              </w:rPr>
            </w:pPr>
            <w:r>
              <w:rPr>
                <w:rFonts w:hint="eastAsia" w:hAnsi="宋体" w:cs="仿宋_GB2312"/>
                <w:color w:val="000000"/>
                <w:sz w:val="20"/>
                <w:szCs w:val="20"/>
                <w:lang w:val="en-US" w:eastAsia="zh-CN"/>
              </w:rPr>
              <w:t>666.26</w:t>
            </w:r>
          </w:p>
        </w:tc>
        <w:tc>
          <w:tcPr>
            <w:tcW w:w="133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adjustRightInd/>
              <w:snapToGrid/>
              <w:spacing w:line="240" w:lineRule="auto"/>
              <w:ind w:firstLine="0" w:firstLineChars="0"/>
              <w:jc w:val="center"/>
              <w:textAlignment w:val="center"/>
              <w:rPr>
                <w:rFonts w:hint="eastAsia" w:ascii="黑体" w:hAnsi="宋体" w:eastAsia="黑体" w:cs="黑体"/>
                <w:color w:val="000000"/>
                <w:kern w:val="0"/>
                <w:sz w:val="20"/>
                <w:szCs w:val="20"/>
                <w:lang w:eastAsia="zh-CN"/>
              </w:rPr>
            </w:pPr>
            <w:r>
              <w:rPr>
                <w:rFonts w:hint="eastAsia" w:ascii="黑体" w:hAnsi="宋体" w:eastAsia="黑体" w:cs="黑体"/>
                <w:color w:val="000000"/>
                <w:kern w:val="0"/>
                <w:sz w:val="20"/>
                <w:szCs w:val="20"/>
                <w:lang w:eastAsia="zh-CN"/>
              </w:rPr>
              <w:t>资金抽查占比</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adjustRightInd/>
              <w:snapToGrid/>
              <w:spacing w:line="240" w:lineRule="auto"/>
              <w:ind w:firstLine="0" w:firstLineChars="0"/>
              <w:jc w:val="center"/>
              <w:rPr>
                <w:rFonts w:hint="default" w:ascii="宋体" w:hAnsi="宋体" w:eastAsia="宋体" w:cs="宋体"/>
                <w:color w:val="000000"/>
                <w:sz w:val="20"/>
                <w:szCs w:val="20"/>
                <w:lang w:val="en-US" w:eastAsia="zh-CN"/>
              </w:rPr>
            </w:pPr>
            <w:r>
              <w:rPr>
                <w:rFonts w:hint="eastAsia" w:hAnsi="宋体" w:cs="仿宋_GB2312"/>
                <w:color w:val="000000"/>
                <w:sz w:val="20"/>
                <w:szCs w:val="20"/>
                <w:lang w:val="en-US" w:eastAsia="zh-CN"/>
              </w:rPr>
              <w:t>64.99%</w:t>
            </w:r>
          </w:p>
        </w:tc>
      </w:tr>
      <w:tr>
        <w:tblPrEx>
          <w:tblCellMar>
            <w:top w:w="15" w:type="dxa"/>
            <w:left w:w="15" w:type="dxa"/>
            <w:bottom w:w="15" w:type="dxa"/>
            <w:right w:w="15" w:type="dxa"/>
          </w:tblCellMar>
        </w:tblPrEx>
        <w:trPr>
          <w:trHeight w:val="399" w:hRule="atLeast"/>
        </w:trPr>
        <w:tc>
          <w:tcPr>
            <w:tcW w:w="1517" w:type="dxa"/>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发放调查</w:t>
            </w:r>
          </w:p>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问卷</w:t>
            </w:r>
          </w:p>
        </w:tc>
        <w:tc>
          <w:tcPr>
            <w:tcW w:w="1490"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kern w:val="0"/>
                <w:sz w:val="20"/>
                <w:szCs w:val="20"/>
              </w:rPr>
            </w:pPr>
            <w:r>
              <w:rPr>
                <w:rFonts w:hint="eastAsia" w:hAnsi="宋体" w:cs="仿宋_GB2312"/>
                <w:color w:val="000000"/>
                <w:kern w:val="0"/>
                <w:sz w:val="20"/>
                <w:szCs w:val="20"/>
                <w:lang w:val="en-US" w:eastAsia="zh-CN"/>
              </w:rPr>
              <w:t>内设机构</w:t>
            </w:r>
            <w:r>
              <w:rPr>
                <w:rFonts w:hint="eastAsia" w:hAnsi="宋体" w:cs="仿宋_GB2312"/>
                <w:color w:val="000000"/>
                <w:kern w:val="0"/>
                <w:sz w:val="20"/>
                <w:szCs w:val="20"/>
                <w:highlight w:val="none"/>
                <w:lang w:eastAsia="zh-CN"/>
              </w:rPr>
              <w:t>：</w:t>
            </w:r>
            <w:r>
              <w:rPr>
                <w:rFonts w:hint="eastAsia"/>
                <w:color w:val="000000"/>
                <w:kern w:val="0"/>
                <w:sz w:val="20"/>
                <w:szCs w:val="20"/>
                <w:highlight w:val="none"/>
                <w:lang w:val="en-US" w:eastAsia="zh-CN"/>
              </w:rPr>
              <w:t>39</w:t>
            </w:r>
            <w:r>
              <w:rPr>
                <w:color w:val="000000"/>
                <w:kern w:val="0"/>
                <w:sz w:val="20"/>
                <w:szCs w:val="20"/>
                <w:highlight w:val="none"/>
              </w:rPr>
              <w:t>份</w:t>
            </w:r>
            <w:r>
              <w:rPr>
                <w:rFonts w:hint="eastAsia"/>
                <w:color w:val="000000"/>
                <w:kern w:val="0"/>
                <w:sz w:val="20"/>
                <w:szCs w:val="20"/>
                <w:lang w:val="en-US" w:eastAsia="zh-CN"/>
              </w:rPr>
              <w:t>服务企业</w:t>
            </w:r>
            <w:r>
              <w:rPr>
                <w:rFonts w:hint="eastAsia"/>
                <w:color w:val="000000"/>
                <w:kern w:val="0"/>
                <w:sz w:val="20"/>
                <w:szCs w:val="20"/>
                <w:lang w:eastAsia="zh-CN"/>
              </w:rPr>
              <w:t>：</w:t>
            </w:r>
            <w:r>
              <w:rPr>
                <w:rFonts w:hint="eastAsia"/>
                <w:color w:val="000000"/>
                <w:kern w:val="0"/>
                <w:sz w:val="20"/>
                <w:szCs w:val="20"/>
                <w:lang w:val="en-US" w:eastAsia="zh-CN"/>
              </w:rPr>
              <w:t>36</w:t>
            </w:r>
            <w:r>
              <w:rPr>
                <w:rFonts w:hint="eastAsia"/>
                <w:color w:val="000000"/>
                <w:kern w:val="0"/>
                <w:sz w:val="20"/>
                <w:szCs w:val="20"/>
              </w:rPr>
              <w:t>份</w:t>
            </w:r>
          </w:p>
        </w:tc>
        <w:tc>
          <w:tcPr>
            <w:tcW w:w="1488" w:type="dxa"/>
            <w:gridSpan w:val="2"/>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center"/>
              <w:rPr>
                <w:rFonts w:ascii="仿宋_GB2312" w:hAnsi="宋体" w:eastAsia="仿宋_GB2312" w:cs="仿宋_GB2312"/>
                <w:color w:val="000000"/>
                <w:kern w:val="0"/>
                <w:sz w:val="20"/>
                <w:szCs w:val="20"/>
              </w:rPr>
            </w:pPr>
            <w:r>
              <w:rPr>
                <w:rFonts w:hint="eastAsia" w:ascii="黑体" w:hAnsi="宋体" w:eastAsia="黑体" w:cs="黑体"/>
                <w:color w:val="000000"/>
                <w:kern w:val="0"/>
                <w:sz w:val="20"/>
                <w:szCs w:val="20"/>
              </w:rPr>
              <w:t>有效调查问卷</w:t>
            </w:r>
          </w:p>
        </w:tc>
        <w:tc>
          <w:tcPr>
            <w:tcW w:w="1500" w:type="dxa"/>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仿宋_GB2312" w:hAnsi="宋体" w:eastAsia="仿宋_GB2312" w:cs="仿宋_GB2312"/>
                <w:color w:val="000000"/>
                <w:kern w:val="0"/>
                <w:sz w:val="20"/>
                <w:szCs w:val="20"/>
              </w:rPr>
            </w:pPr>
            <w:r>
              <w:rPr>
                <w:rFonts w:hint="eastAsia" w:hAnsi="宋体" w:cs="仿宋_GB2312"/>
                <w:color w:val="000000"/>
                <w:kern w:val="0"/>
                <w:sz w:val="20"/>
                <w:szCs w:val="20"/>
                <w:lang w:val="en-US" w:eastAsia="zh-CN"/>
              </w:rPr>
              <w:t>内设机构</w:t>
            </w:r>
            <w:r>
              <w:rPr>
                <w:rFonts w:hint="eastAsia" w:hAnsi="宋体" w:cs="仿宋_GB2312"/>
                <w:color w:val="000000"/>
                <w:kern w:val="0"/>
                <w:sz w:val="20"/>
                <w:szCs w:val="20"/>
                <w:lang w:eastAsia="zh-CN"/>
              </w:rPr>
              <w:t>：</w:t>
            </w:r>
            <w:r>
              <w:rPr>
                <w:rFonts w:hint="eastAsia"/>
                <w:color w:val="000000"/>
                <w:kern w:val="0"/>
                <w:sz w:val="20"/>
                <w:szCs w:val="20"/>
                <w:lang w:val="en-US" w:eastAsia="zh-CN"/>
              </w:rPr>
              <w:t>39</w:t>
            </w:r>
            <w:r>
              <w:rPr>
                <w:color w:val="000000"/>
                <w:kern w:val="0"/>
                <w:sz w:val="20"/>
                <w:szCs w:val="20"/>
              </w:rPr>
              <w:t>份</w:t>
            </w:r>
            <w:r>
              <w:rPr>
                <w:rFonts w:hint="eastAsia"/>
                <w:color w:val="000000"/>
                <w:kern w:val="0"/>
                <w:sz w:val="20"/>
                <w:szCs w:val="20"/>
                <w:lang w:val="en-US" w:eastAsia="zh-CN"/>
              </w:rPr>
              <w:t>服务企业</w:t>
            </w:r>
            <w:r>
              <w:rPr>
                <w:rFonts w:hint="eastAsia"/>
                <w:color w:val="000000"/>
                <w:kern w:val="0"/>
                <w:sz w:val="20"/>
                <w:szCs w:val="20"/>
                <w:lang w:eastAsia="zh-CN"/>
              </w:rPr>
              <w:t>：</w:t>
            </w:r>
            <w:r>
              <w:rPr>
                <w:rFonts w:hint="eastAsia"/>
                <w:color w:val="000000"/>
                <w:kern w:val="0"/>
                <w:sz w:val="20"/>
                <w:szCs w:val="20"/>
                <w:lang w:val="en-US" w:eastAsia="zh-CN"/>
              </w:rPr>
              <w:t>36</w:t>
            </w:r>
            <w:r>
              <w:rPr>
                <w:rFonts w:hint="eastAsia"/>
                <w:color w:val="000000"/>
                <w:kern w:val="0"/>
                <w:sz w:val="20"/>
                <w:szCs w:val="20"/>
              </w:rPr>
              <w:t>份</w:t>
            </w:r>
          </w:p>
        </w:tc>
        <w:tc>
          <w:tcPr>
            <w:tcW w:w="1087"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满意度情况</w:t>
            </w:r>
          </w:p>
        </w:tc>
        <w:tc>
          <w:tcPr>
            <w:tcW w:w="190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hint="eastAsia"/>
                <w:color w:val="000000"/>
                <w:kern w:val="0"/>
                <w:sz w:val="20"/>
                <w:szCs w:val="20"/>
              </w:rPr>
            </w:pPr>
            <w:r>
              <w:rPr>
                <w:rFonts w:hint="eastAsia" w:hAnsi="宋体" w:cs="仿宋_GB2312"/>
                <w:color w:val="000000"/>
                <w:kern w:val="0"/>
                <w:sz w:val="20"/>
                <w:szCs w:val="20"/>
                <w:lang w:val="en-US" w:eastAsia="zh-CN"/>
              </w:rPr>
              <w:t>内设机构</w:t>
            </w:r>
            <w:r>
              <w:rPr>
                <w:rFonts w:hint="eastAsia" w:hAnsi="宋体" w:cs="仿宋_GB2312"/>
                <w:color w:val="000000"/>
                <w:kern w:val="0"/>
                <w:sz w:val="20"/>
                <w:szCs w:val="20"/>
                <w:lang w:eastAsia="zh-CN"/>
              </w:rPr>
              <w:t>：</w:t>
            </w:r>
            <w:r>
              <w:rPr>
                <w:rFonts w:hint="eastAsia"/>
                <w:color w:val="000000"/>
                <w:kern w:val="0"/>
                <w:sz w:val="20"/>
                <w:szCs w:val="20"/>
                <w:lang w:val="en-US" w:eastAsia="zh-CN"/>
              </w:rPr>
              <w:t>100%</w:t>
            </w:r>
          </w:p>
          <w:p>
            <w:pPr>
              <w:widowControl/>
              <w:adjustRightInd/>
              <w:snapToGrid/>
              <w:spacing w:line="320" w:lineRule="exact"/>
              <w:ind w:firstLine="0" w:firstLineChars="0"/>
              <w:jc w:val="left"/>
              <w:textAlignment w:val="center"/>
              <w:rPr>
                <w:rFonts w:ascii="仿宋_GB2312" w:hAnsi="宋体" w:eastAsia="仿宋_GB2312" w:cs="仿宋_GB2312"/>
                <w:color w:val="000000"/>
                <w:kern w:val="0"/>
                <w:sz w:val="20"/>
                <w:szCs w:val="20"/>
              </w:rPr>
            </w:pPr>
            <w:r>
              <w:rPr>
                <w:rFonts w:hint="eastAsia"/>
                <w:color w:val="000000"/>
                <w:kern w:val="0"/>
                <w:sz w:val="20"/>
                <w:szCs w:val="20"/>
                <w:lang w:val="en-US" w:eastAsia="zh-CN"/>
              </w:rPr>
              <w:t>服务企业</w:t>
            </w:r>
            <w:r>
              <w:rPr>
                <w:rFonts w:hint="eastAsia"/>
                <w:color w:val="000000"/>
                <w:kern w:val="0"/>
                <w:sz w:val="20"/>
                <w:szCs w:val="20"/>
                <w:lang w:eastAsia="zh-CN"/>
              </w:rPr>
              <w:t>：</w:t>
            </w:r>
            <w:r>
              <w:rPr>
                <w:rFonts w:hint="eastAsia"/>
                <w:color w:val="000000"/>
                <w:kern w:val="0"/>
                <w:sz w:val="20"/>
                <w:szCs w:val="20"/>
                <w:lang w:val="en-US" w:eastAsia="zh-CN"/>
              </w:rPr>
              <w:t>90.48%</w:t>
            </w:r>
          </w:p>
        </w:tc>
      </w:tr>
      <w:tr>
        <w:tblPrEx>
          <w:tblCellMar>
            <w:top w:w="15" w:type="dxa"/>
            <w:left w:w="15" w:type="dxa"/>
            <w:bottom w:w="15" w:type="dxa"/>
            <w:right w:w="15" w:type="dxa"/>
          </w:tblCellMar>
        </w:tblPrEx>
        <w:trPr>
          <w:trHeight w:val="399" w:hRule="atLeast"/>
        </w:trPr>
        <w:tc>
          <w:tcPr>
            <w:tcW w:w="1517" w:type="dxa"/>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绩效目标</w:t>
            </w:r>
          </w:p>
          <w:p>
            <w:pPr>
              <w:widowControl/>
              <w:adjustRightInd/>
              <w:snapToGrid/>
              <w:spacing w:line="320" w:lineRule="exact"/>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实现情况</w:t>
            </w:r>
          </w:p>
        </w:tc>
        <w:tc>
          <w:tcPr>
            <w:tcW w:w="7466" w:type="dxa"/>
            <w:gridSpan w:val="10"/>
            <w:tcBorders>
              <w:top w:val="single" w:color="000000"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通过印发安全宣传单3500份、安全电影下乡场次50次、安全执法检查次数50次、紧急转移安置救灾群众25人次、救助过渡期生活补助人次100次、恢复重建受灾地区倒塌房屋数3户、补助农房保险户数11万户、防灾减灾宣传次数2次、修缮受灾地区一般损坏房屋数1户、安全生产隐患整改率99%以上、因灾死亡失踪人员0人、受灾人员应保尽保率100%、重建房屋质量达标率100%、物资采购合格率100%等绩效指标，达到有效降低安全事故发生率，保障受灾群众基本生活，维护社会稳定的社会效益。</w:t>
            </w:r>
          </w:p>
        </w:tc>
      </w:tr>
      <w:tr>
        <w:tblPrEx>
          <w:tblCellMar>
            <w:top w:w="15" w:type="dxa"/>
            <w:left w:w="15" w:type="dxa"/>
            <w:bottom w:w="15" w:type="dxa"/>
            <w:right w:w="15" w:type="dxa"/>
          </w:tblCellMar>
        </w:tblPrEx>
        <w:trPr>
          <w:trHeight w:val="750" w:hRule="atLeast"/>
        </w:trPr>
        <w:tc>
          <w:tcPr>
            <w:tcW w:w="1517" w:type="dxa"/>
            <w:tcBorders>
              <w:top w:val="single" w:color="auto" w:sz="4" w:space="0"/>
              <w:left w:val="single" w:color="auto" w:sz="4" w:space="0"/>
              <w:bottom w:val="single" w:color="auto" w:sz="4" w:space="0"/>
              <w:right w:val="single" w:color="auto"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评价问题</w:t>
            </w:r>
          </w:p>
          <w:p>
            <w:pPr>
              <w:widowControl/>
              <w:adjustRightInd/>
              <w:snapToGrid/>
              <w:spacing w:line="320" w:lineRule="exact"/>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简要情况</w:t>
            </w:r>
          </w:p>
        </w:tc>
        <w:tc>
          <w:tcPr>
            <w:tcW w:w="7466" w:type="dxa"/>
            <w:gridSpan w:val="10"/>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adjustRightInd/>
              <w:snapToGrid/>
              <w:spacing w:line="320" w:lineRule="exact"/>
              <w:ind w:firstLine="0" w:firstLineChars="0"/>
              <w:jc w:val="left"/>
              <w:textAlignment w:val="center"/>
              <w:rPr>
                <w:rFonts w:hint="eastAsia" w:hAnsi="宋体" w:cs="仿宋_GB2312"/>
                <w:color w:val="000000"/>
                <w:sz w:val="20"/>
                <w:szCs w:val="20"/>
                <w:lang w:eastAsia="zh-CN"/>
              </w:rPr>
            </w:pPr>
            <w:r>
              <w:rPr>
                <w:rFonts w:hint="eastAsia" w:ascii="仿宋_GB2312" w:hAnsi="宋体" w:eastAsia="仿宋_GB2312" w:cs="仿宋_GB2312"/>
                <w:color w:val="000000"/>
                <w:sz w:val="20"/>
                <w:szCs w:val="20"/>
              </w:rPr>
              <w:t>绩效目标管理不到位，编制水平有待提高</w:t>
            </w:r>
            <w:r>
              <w:rPr>
                <w:rFonts w:hint="eastAsia" w:hAnsi="宋体" w:cs="仿宋_GB2312"/>
                <w:color w:val="000000"/>
                <w:sz w:val="20"/>
                <w:szCs w:val="20"/>
                <w:lang w:eastAsia="zh-CN"/>
              </w:rPr>
              <w:t>。</w:t>
            </w:r>
          </w:p>
          <w:p>
            <w:pPr>
              <w:widowControl/>
              <w:numPr>
                <w:ilvl w:val="0"/>
                <w:numId w:val="0"/>
              </w:numPr>
              <w:adjustRightInd/>
              <w:snapToGrid/>
              <w:spacing w:line="320" w:lineRule="exact"/>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该部门部分绩效目标、绩效指标明确性方面存在不足，主要表现在以下几个方面：一是部分绩效指标明确性、清晰度及可衡量程度需进一步提升。二是缺少时效指标未将目标拆分成几个小的目标及对应的完成时间节点，导致绩效目标缺乏时效约束性。三是部分指标性质归类不准。</w:t>
            </w:r>
          </w:p>
          <w:p>
            <w:pPr>
              <w:widowControl/>
              <w:adjustRightInd/>
              <w:snapToGrid/>
              <w:spacing w:line="320" w:lineRule="exact"/>
              <w:ind w:firstLine="0" w:firstLineChars="0"/>
              <w:jc w:val="left"/>
              <w:textAlignment w:val="center"/>
              <w:rPr>
                <w:rFonts w:hint="eastAsia" w:hAnsi="宋体" w:cs="仿宋_GB2312"/>
                <w:color w:val="000000"/>
                <w:sz w:val="20"/>
                <w:szCs w:val="20"/>
                <w:lang w:eastAsia="zh-CN"/>
              </w:rPr>
            </w:pPr>
            <w:r>
              <w:rPr>
                <w:rFonts w:hint="eastAsia" w:ascii="仿宋_GB2312" w:hAnsi="宋体" w:eastAsia="仿宋_GB2312" w:cs="仿宋_GB2312"/>
                <w:color w:val="000000"/>
                <w:sz w:val="20"/>
                <w:szCs w:val="20"/>
              </w:rPr>
              <w:t>（二）年度工作计划不明确，细化程度有待提高</w:t>
            </w:r>
            <w:r>
              <w:rPr>
                <w:rFonts w:hint="eastAsia" w:hAnsi="宋体" w:cs="仿宋_GB2312"/>
                <w:color w:val="000000"/>
                <w:sz w:val="20"/>
                <w:szCs w:val="20"/>
                <w:lang w:eastAsia="zh-CN"/>
              </w:rPr>
              <w:t>。</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根据《2021年绥阳县应急管理局工作要点》中提到的绥阳县应急局2021年工作计划，该计划仅从十三个方面</w:t>
            </w:r>
            <w:r>
              <w:rPr>
                <w:rFonts w:hint="eastAsia" w:hAnsi="宋体" w:cs="仿宋_GB2312"/>
                <w:color w:val="000000"/>
                <w:sz w:val="20"/>
                <w:szCs w:val="20"/>
                <w:lang w:eastAsia="zh-CN"/>
              </w:rPr>
              <w:t>做出</w:t>
            </w:r>
            <w:r>
              <w:rPr>
                <w:rFonts w:hint="eastAsia" w:ascii="仿宋_GB2312" w:hAnsi="宋体" w:eastAsia="仿宋_GB2312" w:cs="仿宋_GB2312"/>
                <w:color w:val="000000"/>
                <w:sz w:val="20"/>
                <w:szCs w:val="20"/>
              </w:rPr>
              <w:t>整体规划安排，未明确计划工作人员安排、牵头领导、牵头科室、具体工作事项、工作完成时限以及明确的资金安排，无法考核工作是否在规定时间完成。</w:t>
            </w:r>
          </w:p>
          <w:p>
            <w:pPr>
              <w:widowControl/>
              <w:numPr>
                <w:ilvl w:val="0"/>
                <w:numId w:val="2"/>
              </w:numPr>
              <w:adjustRightInd/>
              <w:snapToGrid/>
              <w:spacing w:line="320" w:lineRule="exact"/>
              <w:ind w:firstLine="0" w:firstLineChars="0"/>
              <w:jc w:val="left"/>
              <w:textAlignment w:val="center"/>
              <w:rPr>
                <w:rFonts w:hint="eastAsia" w:hAnsi="宋体" w:cs="仿宋_GB2312"/>
                <w:color w:val="000000"/>
                <w:sz w:val="20"/>
                <w:szCs w:val="20"/>
                <w:lang w:eastAsia="zh-CN"/>
              </w:rPr>
            </w:pPr>
            <w:r>
              <w:rPr>
                <w:rFonts w:hint="eastAsia" w:ascii="仿宋_GB2312" w:hAnsi="宋体" w:eastAsia="仿宋_GB2312" w:cs="仿宋_GB2312"/>
                <w:color w:val="000000"/>
                <w:sz w:val="20"/>
                <w:szCs w:val="20"/>
              </w:rPr>
              <w:t>预算调整幅度过大，经费控制率偏高</w:t>
            </w:r>
            <w:r>
              <w:rPr>
                <w:rFonts w:hint="eastAsia" w:hAnsi="宋体" w:cs="仿宋_GB2312"/>
                <w:color w:val="000000"/>
                <w:sz w:val="20"/>
                <w:szCs w:val="20"/>
                <w:lang w:eastAsia="zh-CN"/>
              </w:rPr>
              <w:t>。</w:t>
            </w:r>
          </w:p>
          <w:p>
            <w:pPr>
              <w:widowControl/>
              <w:numPr>
                <w:ilvl w:val="0"/>
                <w:numId w:val="0"/>
              </w:numPr>
              <w:adjustRightInd/>
              <w:snapToGrid/>
              <w:spacing w:line="320" w:lineRule="exact"/>
              <w:jc w:val="left"/>
              <w:textAlignment w:val="center"/>
              <w:rPr>
                <w:rFonts w:hint="eastAsia" w:hAnsi="宋体" w:cs="仿宋_GB2312"/>
                <w:color w:val="000000"/>
                <w:sz w:val="20"/>
                <w:szCs w:val="20"/>
                <w:lang w:eastAsia="zh-CN"/>
              </w:rPr>
            </w:pPr>
            <w:r>
              <w:rPr>
                <w:rFonts w:hint="eastAsia" w:ascii="仿宋_GB2312" w:hAnsi="宋体" w:eastAsia="仿宋_GB2312" w:cs="仿宋_GB2312"/>
                <w:color w:val="000000"/>
                <w:sz w:val="20"/>
                <w:szCs w:val="20"/>
              </w:rPr>
              <w:t>绥阳县应急局2021年年初预算批复收入506.60万元，决算收入1762.10万元，其中财政局追加一般公共服务等支出资金1255.50万元，年初结转结余779.41万元，预算调整率为347.83%。县应急局2021年公用经费年初预算数8.87万元，实际支出16.90万元，公用经费控制率为190.53%，公用经费控制率偏高</w:t>
            </w:r>
            <w:r>
              <w:rPr>
                <w:rFonts w:hint="eastAsia" w:hAnsi="宋体" w:cs="仿宋_GB2312"/>
                <w:color w:val="000000"/>
                <w:sz w:val="20"/>
                <w:szCs w:val="20"/>
                <w:lang w:eastAsia="zh-CN"/>
              </w:rPr>
              <w:t>。</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县应急局2021年“三公经费”预算数为6.23万元、实际支出为57.17万元，“三公经费”控制率为917.66%。</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（四）财务制度执行不够彻底，会计核算仍需规范</w:t>
            </w:r>
            <w:r>
              <w:rPr>
                <w:rFonts w:hint="eastAsia" w:hAnsi="宋体" w:cs="仿宋_GB2312"/>
                <w:color w:val="000000"/>
                <w:sz w:val="20"/>
                <w:szCs w:val="20"/>
                <w:lang w:eastAsia="zh-CN"/>
              </w:rPr>
              <w:t>。</w:t>
            </w:r>
            <w:r>
              <w:rPr>
                <w:rFonts w:hint="eastAsia" w:ascii="仿宋_GB2312" w:hAnsi="宋体" w:eastAsia="仿宋_GB2312" w:cs="仿宋_GB2312"/>
                <w:color w:val="000000"/>
                <w:sz w:val="20"/>
                <w:szCs w:val="20"/>
              </w:rPr>
              <w:t>第三方随机抽查被评价单位记账凭证及相关明细账，在该部门记账凭证中发现：记账凭证中记账、审核、制表均为同一人，不符合“《会计基础工作规范》中制单人和记账人可为同一人，审核人和记账人也可同一人，但制单人和审核人不能为同一人”之规定。</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（五）资产管理欠规范，管理水平有待提升</w:t>
            </w:r>
            <w:r>
              <w:rPr>
                <w:rFonts w:hint="eastAsia" w:hAnsi="宋体" w:cs="仿宋_GB2312"/>
                <w:color w:val="000000"/>
                <w:sz w:val="20"/>
                <w:szCs w:val="20"/>
                <w:lang w:eastAsia="zh-CN"/>
              </w:rPr>
              <w:t>。</w:t>
            </w:r>
            <w:r>
              <w:rPr>
                <w:rFonts w:hint="eastAsia" w:ascii="仿宋_GB2312" w:hAnsi="宋体" w:eastAsia="仿宋_GB2312" w:cs="仿宋_GB2312"/>
                <w:color w:val="000000"/>
                <w:sz w:val="20"/>
                <w:szCs w:val="20"/>
              </w:rPr>
              <w:t>固定资产管理欠规范，2021年以前的固定资产部分标签掉落，2021年购置的固定资产实物无资产标号标贴，影响固定资产卡片信息完整性、准确性，存在资产流失风险。</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（六）部分工作完成不及时，执行效率需要提升</w:t>
            </w:r>
          </w:p>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县应急局计划安全电影下乡场次达到50次以上，实际安全电影下乡工作</w:t>
            </w:r>
            <w:r>
              <w:rPr>
                <w:rFonts w:hint="eastAsia" w:hAnsi="宋体" w:cs="仿宋_GB2312"/>
                <w:color w:val="000000"/>
                <w:sz w:val="20"/>
                <w:szCs w:val="20"/>
                <w:lang w:eastAsia="zh-CN"/>
              </w:rPr>
              <w:t>未开展</w:t>
            </w:r>
            <w:r>
              <w:rPr>
                <w:rFonts w:hint="eastAsia" w:ascii="仿宋_GB2312" w:hAnsi="宋体" w:eastAsia="仿宋_GB2312" w:cs="仿宋_GB2312"/>
                <w:color w:val="000000"/>
                <w:sz w:val="20"/>
                <w:szCs w:val="20"/>
              </w:rPr>
              <w:t>；计划完成安全隐患整改率为99%以上，实际安全问题隐患整改率为97.67%。</w:t>
            </w:r>
          </w:p>
        </w:tc>
      </w:tr>
      <w:tr>
        <w:tblPrEx>
          <w:tblCellMar>
            <w:top w:w="15" w:type="dxa"/>
            <w:left w:w="15" w:type="dxa"/>
            <w:bottom w:w="15" w:type="dxa"/>
            <w:right w:w="15" w:type="dxa"/>
          </w:tblCellMar>
        </w:tblPrEx>
        <w:trPr>
          <w:trHeight w:val="172" w:hRule="atLeast"/>
        </w:trPr>
        <w:tc>
          <w:tcPr>
            <w:tcW w:w="1517" w:type="dxa"/>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评价问题</w:t>
            </w:r>
          </w:p>
          <w:p>
            <w:pPr>
              <w:widowControl/>
              <w:adjustRightInd/>
              <w:snapToGrid/>
              <w:spacing w:line="320" w:lineRule="exact"/>
              <w:ind w:firstLine="0" w:firstLineChars="0"/>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简要建议</w:t>
            </w:r>
          </w:p>
        </w:tc>
        <w:tc>
          <w:tcPr>
            <w:tcW w:w="7466" w:type="dxa"/>
            <w:gridSpan w:val="10"/>
            <w:tcBorders>
              <w:top w:val="single" w:color="auto" w:sz="4" w:space="0"/>
              <w:left w:val="single" w:color="000000" w:sz="4" w:space="0"/>
              <w:bottom w:val="single" w:color="000000" w:sz="4" w:space="0"/>
              <w:right w:val="single" w:color="000000" w:sz="4" w:space="0"/>
            </w:tcBorders>
            <w:noWrap w:val="0"/>
            <w:vAlign w:val="center"/>
          </w:tcPr>
          <w:p>
            <w:pPr>
              <w:widowControl/>
              <w:numPr>
                <w:ilvl w:val="0"/>
                <w:numId w:val="3"/>
              </w:numPr>
              <w:adjustRightInd/>
              <w:snapToGrid/>
              <w:spacing w:line="320" w:lineRule="exact"/>
              <w:ind w:firstLine="0" w:firstLineChars="0"/>
              <w:jc w:val="left"/>
              <w:textAlignment w:val="center"/>
              <w:rPr>
                <w:rFonts w:hint="eastAsia" w:hAnsi="宋体" w:cs="仿宋_GB2312"/>
                <w:color w:val="000000"/>
                <w:sz w:val="20"/>
                <w:szCs w:val="20"/>
                <w:lang w:eastAsia="zh-CN"/>
              </w:rPr>
            </w:pPr>
            <w:r>
              <w:rPr>
                <w:rFonts w:hint="eastAsia" w:ascii="仿宋_GB2312" w:hAnsi="宋体" w:eastAsia="仿宋_GB2312" w:cs="仿宋_GB2312"/>
                <w:color w:val="000000"/>
                <w:sz w:val="20"/>
                <w:szCs w:val="20"/>
              </w:rPr>
              <w:t>重视绩效管理工作，完善目标管理机制</w:t>
            </w:r>
            <w:r>
              <w:rPr>
                <w:rFonts w:hint="eastAsia" w:hAnsi="宋体" w:cs="仿宋_GB2312"/>
                <w:color w:val="000000"/>
                <w:sz w:val="20"/>
                <w:szCs w:val="20"/>
                <w:lang w:eastAsia="zh-CN"/>
              </w:rPr>
              <w:t>。</w:t>
            </w:r>
          </w:p>
          <w:p>
            <w:pPr>
              <w:widowControl/>
              <w:numPr>
                <w:ilvl w:val="0"/>
                <w:numId w:val="0"/>
              </w:numPr>
              <w:adjustRightInd/>
              <w:snapToGrid/>
              <w:spacing w:line="320" w:lineRule="exact"/>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目标管理是预算绩效管理的基础，建议县应急局聚焦部门职能、部门规划和年度重点工作任务、预算安排，提炼出明确可考核的部门整体和项目绩效目标、指标，强化预算与绩效管理一体化，使其能够在符合客观实际的前提下，准确、</w:t>
            </w:r>
            <w:r>
              <w:rPr>
                <w:rFonts w:hint="eastAsia" w:hAnsi="宋体" w:cs="仿宋_GB2312"/>
                <w:color w:val="000000"/>
                <w:sz w:val="20"/>
                <w:szCs w:val="20"/>
                <w:highlight w:val="none"/>
                <w:lang w:eastAsia="zh-CN"/>
              </w:rPr>
              <w:t>全面地反映</w:t>
            </w:r>
            <w:r>
              <w:rPr>
                <w:rFonts w:hint="eastAsia" w:ascii="仿宋_GB2312" w:hAnsi="宋体" w:eastAsia="仿宋_GB2312" w:cs="仿宋_GB2312"/>
                <w:color w:val="000000"/>
                <w:sz w:val="20"/>
                <w:szCs w:val="20"/>
              </w:rPr>
              <w:t>部门年度工作履职情况。</w:t>
            </w:r>
          </w:p>
          <w:p>
            <w:pPr>
              <w:widowControl/>
              <w:numPr>
                <w:ilvl w:val="0"/>
                <w:numId w:val="3"/>
              </w:numPr>
              <w:adjustRightInd/>
              <w:snapToGrid/>
              <w:spacing w:line="320" w:lineRule="exact"/>
              <w:ind w:left="0" w:leftChars="0" w:firstLine="0" w:firstLineChars="0"/>
              <w:jc w:val="left"/>
              <w:textAlignment w:val="center"/>
              <w:rPr>
                <w:rFonts w:hint="eastAsia" w:hAnsi="宋体" w:cs="仿宋_GB2312"/>
                <w:color w:val="000000"/>
                <w:sz w:val="20"/>
                <w:szCs w:val="20"/>
                <w:lang w:eastAsia="zh-CN"/>
              </w:rPr>
            </w:pPr>
            <w:r>
              <w:rPr>
                <w:rFonts w:hint="eastAsia" w:ascii="仿宋_GB2312" w:hAnsi="宋体" w:eastAsia="仿宋_GB2312" w:cs="仿宋_GB2312"/>
                <w:color w:val="000000"/>
                <w:sz w:val="20"/>
                <w:szCs w:val="20"/>
              </w:rPr>
              <w:t>提高年度工作编制水平，完善应急工作履职效能</w:t>
            </w:r>
            <w:r>
              <w:rPr>
                <w:rFonts w:hint="eastAsia" w:hAnsi="宋体" w:cs="仿宋_GB2312"/>
                <w:color w:val="000000"/>
                <w:sz w:val="20"/>
                <w:szCs w:val="20"/>
                <w:lang w:eastAsia="zh-CN"/>
              </w:rPr>
              <w:t>。</w:t>
            </w:r>
          </w:p>
          <w:p>
            <w:pPr>
              <w:widowControl/>
              <w:numPr>
                <w:ilvl w:val="0"/>
                <w:numId w:val="0"/>
              </w:numPr>
              <w:adjustRightInd/>
              <w:snapToGrid/>
              <w:spacing w:line="320" w:lineRule="exact"/>
              <w:ind w:left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立年度工作任务和目标的分解落实机制，并开展督查、考核工作，进一步提升履职效能。建议县应急局在年初预算分配的同时，明确资金支出方向、人员安排、牵头领导、牵头科室、具体工作事项以及工作完成时限。</w:t>
            </w:r>
          </w:p>
          <w:p>
            <w:pPr>
              <w:widowControl/>
              <w:adjustRightInd/>
              <w:snapToGrid/>
              <w:spacing w:line="320" w:lineRule="exact"/>
              <w:ind w:firstLine="0" w:firstLineChars="0"/>
              <w:jc w:val="left"/>
              <w:textAlignment w:val="center"/>
              <w:rPr>
                <w:rFonts w:hint="eastAsia" w:hAnsi="宋体" w:cs="仿宋_GB2312"/>
                <w:color w:val="000000"/>
                <w:sz w:val="20"/>
                <w:szCs w:val="20"/>
                <w:lang w:eastAsia="zh-CN"/>
              </w:rPr>
            </w:pPr>
            <w:r>
              <w:rPr>
                <w:rFonts w:hint="eastAsia" w:ascii="仿宋_GB2312" w:hAnsi="宋体" w:eastAsia="仿宋_GB2312" w:cs="仿宋_GB2312"/>
                <w:color w:val="000000"/>
                <w:sz w:val="20"/>
                <w:szCs w:val="20"/>
              </w:rPr>
              <w:t>（三）合理规划申报部门支出，严格控制经费管理</w:t>
            </w:r>
            <w:r>
              <w:rPr>
                <w:rFonts w:hint="eastAsia" w:hAnsi="宋体" w:cs="仿宋_GB2312"/>
                <w:color w:val="000000"/>
                <w:sz w:val="20"/>
                <w:szCs w:val="20"/>
                <w:lang w:eastAsia="zh-CN"/>
              </w:rPr>
              <w:t>。</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做好年度基础信息统计，按照统一的时间节点、统计口径进行数据统计，保证部门预算资金完成情况、各汇总表、汇报情况数据一致，为下年预算编制提供依据，结合上一年度预算执行情况和本年度预算情况科学性的编制收支预算，提高预算准确性。合理规划申报部门差旅费用支出渠道，保障预算调整在合理范围内正常波动，避免出现严重公用经费“三公经费”超支情况，进一步规范经费管理，保证经费支出合理、合规。</w:t>
            </w:r>
          </w:p>
          <w:p>
            <w:pPr>
              <w:widowControl/>
              <w:adjustRightInd/>
              <w:snapToGrid/>
              <w:spacing w:line="320" w:lineRule="exact"/>
              <w:ind w:firstLine="0" w:firstLineChars="0"/>
              <w:jc w:val="left"/>
              <w:textAlignment w:val="center"/>
              <w:rPr>
                <w:rFonts w:hint="eastAsia" w:hAnsi="宋体" w:cs="仿宋_GB2312"/>
                <w:color w:val="000000"/>
                <w:sz w:val="20"/>
                <w:szCs w:val="20"/>
                <w:lang w:eastAsia="zh-CN"/>
              </w:rPr>
            </w:pPr>
            <w:r>
              <w:rPr>
                <w:rFonts w:hint="eastAsia" w:ascii="仿宋_GB2312" w:hAnsi="宋体" w:eastAsia="仿宋_GB2312" w:cs="仿宋_GB2312"/>
                <w:color w:val="000000"/>
                <w:sz w:val="20"/>
                <w:szCs w:val="20"/>
              </w:rPr>
              <w:t>（四）强化财务监管水平，规范财务核算工作</w:t>
            </w:r>
            <w:r>
              <w:rPr>
                <w:rFonts w:hint="eastAsia" w:hAnsi="宋体" w:cs="仿宋_GB2312"/>
                <w:color w:val="000000"/>
                <w:sz w:val="20"/>
                <w:szCs w:val="20"/>
                <w:lang w:eastAsia="zh-CN"/>
              </w:rPr>
              <w:t>。</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会计人员严格按照《会计基础工作规范》中“制单人和记账人可为同一人，审核人和记账人也可同一人，但制单人和审核人不能为同一人”之规定，履行会计监督职能，会计人员配备严格按照会计职责的需要独立设岗，不相容职责一定相分离；会计人员要重视财务工作的重要性和严肃性，提高会计核算业务水平，强化财务监管水平，规范财务核算。</w:t>
            </w:r>
          </w:p>
          <w:p>
            <w:pPr>
              <w:widowControl/>
              <w:adjustRightInd/>
              <w:snapToGrid/>
              <w:spacing w:line="320" w:lineRule="exact"/>
              <w:ind w:firstLine="0" w:firstLineChars="0"/>
              <w:jc w:val="left"/>
              <w:textAlignment w:val="center"/>
              <w:rPr>
                <w:rFonts w:hint="eastAsia" w:hAnsi="宋体" w:cs="仿宋_GB2312"/>
                <w:color w:val="000000"/>
                <w:sz w:val="20"/>
                <w:szCs w:val="20"/>
                <w:lang w:eastAsia="zh-CN"/>
              </w:rPr>
            </w:pPr>
            <w:r>
              <w:rPr>
                <w:rFonts w:hint="eastAsia" w:ascii="仿宋_GB2312" w:hAnsi="宋体" w:eastAsia="仿宋_GB2312" w:cs="仿宋_GB2312"/>
                <w:color w:val="000000"/>
                <w:sz w:val="20"/>
                <w:szCs w:val="20"/>
              </w:rPr>
              <w:t>（五）落实执行资产管理制度，提升资产管理水平</w:t>
            </w:r>
            <w:r>
              <w:rPr>
                <w:rFonts w:hint="eastAsia" w:hAnsi="宋体" w:cs="仿宋_GB2312"/>
                <w:color w:val="000000"/>
                <w:sz w:val="20"/>
                <w:szCs w:val="20"/>
                <w:lang w:eastAsia="zh-CN"/>
              </w:rPr>
              <w:t>。</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落实执行固定资产卡片账管理，针对新购置的固定资产准确填写资产卡片账信息、固定资产类别代码，并为其粘贴资产标号标贴，确保资产信息完整性、准确性；二是有效执行单位资产管理制度，健全单位固定资产使用监管制度，按照规定程序办理借还登记手续，规范单位资产管理，强化资产管理</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（六）严格执行工作计划，提高项目实施效率</w:t>
            </w:r>
          </w:p>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严格落实计划工作，保障工作质量。建议县应急局以及相关部门严格落实计划任务，细化工作任务，进一步保障工作任务完成率。</w:t>
            </w:r>
          </w:p>
        </w:tc>
      </w:tr>
      <w:tr>
        <w:tblPrEx>
          <w:tblCellMar>
            <w:top w:w="15" w:type="dxa"/>
            <w:left w:w="15" w:type="dxa"/>
            <w:bottom w:w="15" w:type="dxa"/>
            <w:right w:w="15" w:type="dxa"/>
          </w:tblCellMar>
        </w:tblPrEx>
        <w:trPr>
          <w:trHeight w:val="629" w:hRule="atLeast"/>
        </w:trPr>
        <w:tc>
          <w:tcPr>
            <w:tcW w:w="1517" w:type="dxa"/>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评价结果</w:t>
            </w:r>
          </w:p>
          <w:p>
            <w:pPr>
              <w:widowControl/>
              <w:adjustRightInd/>
              <w:snapToGrid/>
              <w:spacing w:line="320" w:lineRule="exact"/>
              <w:ind w:firstLine="0" w:firstLineChars="0"/>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应用建议</w:t>
            </w:r>
          </w:p>
        </w:tc>
        <w:tc>
          <w:tcPr>
            <w:tcW w:w="7466" w:type="dxa"/>
            <w:gridSpan w:val="10"/>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（一）整改建议</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对于本次绩效评价结果发现的问题，县财政局应督促预算单位尽快制定合理有效的整改方案，并对整改方案的落实进行监督。</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（二）下年预算安排建议</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县应急局在下一年度申报预算时，应进一步明确年初绩效目标。同时，鉴于部门年初任务保质保量按时完成，且部门社会效益比较明显，建议财政预算安排维持其申报预算规模。</w:t>
            </w:r>
          </w:p>
          <w:p>
            <w:pPr>
              <w:widowControl/>
              <w:adjustRightInd/>
              <w:snapToGrid/>
              <w:spacing w:line="320" w:lineRule="exact"/>
              <w:ind w:firstLine="0" w:firstLineChars="0"/>
              <w:jc w:val="left"/>
              <w:textAlignment w:val="center"/>
              <w:rPr>
                <w:rFonts w:hint="eastAsia"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（三）绩效评价结果公开建议</w:t>
            </w:r>
          </w:p>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建议向社会公开此次评价结果。</w:t>
            </w:r>
          </w:p>
        </w:tc>
      </w:tr>
      <w:tr>
        <w:tblPrEx>
          <w:tblCellMar>
            <w:top w:w="15" w:type="dxa"/>
            <w:left w:w="15" w:type="dxa"/>
            <w:bottom w:w="15" w:type="dxa"/>
            <w:right w:w="15" w:type="dxa"/>
          </w:tblCellMar>
        </w:tblPrEx>
        <w:trPr>
          <w:trHeight w:val="510" w:hRule="atLeast"/>
        </w:trPr>
        <w:tc>
          <w:tcPr>
            <w:tcW w:w="2245" w:type="dxa"/>
            <w:gridSpan w:val="2"/>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评价时间</w:t>
            </w:r>
          </w:p>
        </w:tc>
        <w:tc>
          <w:tcPr>
            <w:tcW w:w="2246" w:type="dxa"/>
            <w:gridSpan w:val="2"/>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w:t>
            </w:r>
            <w:r>
              <w:rPr>
                <w:rFonts w:hint="eastAsia" w:hAnsi="宋体" w:cs="仿宋_GB2312"/>
                <w:color w:val="000000"/>
                <w:sz w:val="20"/>
                <w:szCs w:val="20"/>
                <w:lang w:val="en-US" w:eastAsia="zh-CN"/>
              </w:rPr>
              <w:t>22</w:t>
            </w:r>
            <w:r>
              <w:rPr>
                <w:rFonts w:hint="eastAsia" w:ascii="仿宋_GB2312" w:hAnsi="宋体" w:eastAsia="仿宋_GB2312" w:cs="仿宋_GB2312"/>
                <w:color w:val="000000"/>
                <w:sz w:val="20"/>
                <w:szCs w:val="20"/>
              </w:rPr>
              <w:t>年</w:t>
            </w:r>
            <w:r>
              <w:rPr>
                <w:rFonts w:hint="eastAsia" w:hAnsi="宋体" w:cs="仿宋_GB2312"/>
                <w:color w:val="000000"/>
                <w:sz w:val="20"/>
                <w:szCs w:val="20"/>
                <w:lang w:val="en-US" w:eastAsia="zh-CN"/>
              </w:rPr>
              <w:t>8</w:t>
            </w:r>
            <w:r>
              <w:rPr>
                <w:rFonts w:hint="eastAsia" w:ascii="仿宋_GB2312" w:hAnsi="宋体" w:eastAsia="仿宋_GB2312" w:cs="仿宋_GB2312"/>
                <w:color w:val="000000"/>
                <w:sz w:val="20"/>
                <w:szCs w:val="20"/>
              </w:rPr>
              <w:t>月</w:t>
            </w:r>
            <w:r>
              <w:rPr>
                <w:rFonts w:hint="eastAsia" w:hAnsi="宋体" w:cs="仿宋_GB2312"/>
                <w:color w:val="000000"/>
                <w:sz w:val="20"/>
                <w:szCs w:val="20"/>
                <w:lang w:val="en-US" w:eastAsia="zh-CN"/>
              </w:rPr>
              <w:t>25</w:t>
            </w:r>
            <w:r>
              <w:rPr>
                <w:rFonts w:hint="eastAsia" w:ascii="仿宋_GB2312" w:hAnsi="宋体" w:eastAsia="仿宋_GB2312" w:cs="仿宋_GB2312"/>
                <w:color w:val="000000"/>
                <w:sz w:val="20"/>
                <w:szCs w:val="20"/>
              </w:rPr>
              <w:t>日—20</w:t>
            </w:r>
            <w:r>
              <w:rPr>
                <w:rFonts w:hint="eastAsia" w:hAnsi="宋体" w:cs="仿宋_GB2312"/>
                <w:color w:val="000000"/>
                <w:sz w:val="20"/>
                <w:szCs w:val="20"/>
                <w:lang w:val="en-US" w:eastAsia="zh-CN"/>
              </w:rPr>
              <w:t>22</w:t>
            </w:r>
            <w:r>
              <w:rPr>
                <w:rFonts w:hint="eastAsia" w:ascii="仿宋_GB2312" w:hAnsi="宋体" w:eastAsia="仿宋_GB2312" w:cs="仿宋_GB2312"/>
                <w:color w:val="000000"/>
                <w:sz w:val="20"/>
                <w:szCs w:val="20"/>
              </w:rPr>
              <w:t>年</w:t>
            </w:r>
            <w:r>
              <w:rPr>
                <w:rFonts w:hint="eastAsia" w:hAnsi="宋体" w:cs="仿宋_GB2312"/>
                <w:color w:val="000000"/>
                <w:sz w:val="20"/>
                <w:szCs w:val="20"/>
                <w:lang w:val="en-US" w:eastAsia="zh-CN"/>
              </w:rPr>
              <w:t>10</w:t>
            </w:r>
            <w:r>
              <w:rPr>
                <w:rFonts w:hint="eastAsia" w:ascii="仿宋_GB2312" w:hAnsi="宋体" w:eastAsia="仿宋_GB2312" w:cs="仿宋_GB2312"/>
                <w:color w:val="000000"/>
                <w:sz w:val="20"/>
                <w:szCs w:val="20"/>
              </w:rPr>
              <w:t>月</w:t>
            </w:r>
            <w:r>
              <w:rPr>
                <w:rFonts w:hint="eastAsia" w:hAnsi="宋体" w:cs="仿宋_GB2312"/>
                <w:color w:val="000000"/>
                <w:sz w:val="20"/>
                <w:szCs w:val="20"/>
                <w:lang w:val="en-US" w:eastAsia="zh-CN"/>
              </w:rPr>
              <w:t>15</w:t>
            </w:r>
            <w:r>
              <w:rPr>
                <w:rFonts w:hint="eastAsia" w:ascii="仿宋_GB2312" w:hAnsi="宋体" w:eastAsia="仿宋_GB2312" w:cs="仿宋_GB2312"/>
                <w:color w:val="000000"/>
                <w:sz w:val="20"/>
                <w:szCs w:val="20"/>
              </w:rPr>
              <w:t>日</w:t>
            </w:r>
          </w:p>
        </w:tc>
        <w:tc>
          <w:tcPr>
            <w:tcW w:w="2246" w:type="dxa"/>
            <w:gridSpan w:val="4"/>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评价机构报告编号</w:t>
            </w:r>
          </w:p>
        </w:tc>
        <w:tc>
          <w:tcPr>
            <w:tcW w:w="2246" w:type="dxa"/>
            <w:gridSpan w:val="3"/>
            <w:tcBorders>
              <w:top w:val="single" w:color="auto" w:sz="4" w:space="0"/>
              <w:left w:val="single" w:color="000000" w:sz="4" w:space="0"/>
              <w:bottom w:val="single" w:color="auto"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QCJ-PJ-2022-0918</w:t>
            </w:r>
          </w:p>
        </w:tc>
      </w:tr>
      <w:tr>
        <w:tblPrEx>
          <w:tblCellMar>
            <w:top w:w="15" w:type="dxa"/>
            <w:left w:w="15" w:type="dxa"/>
            <w:bottom w:w="15" w:type="dxa"/>
            <w:right w:w="15" w:type="dxa"/>
          </w:tblCellMar>
        </w:tblPrEx>
        <w:trPr>
          <w:trHeight w:val="631" w:hRule="atLeast"/>
        </w:trPr>
        <w:tc>
          <w:tcPr>
            <w:tcW w:w="2245" w:type="dxa"/>
            <w:gridSpan w:val="2"/>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lang w:eastAsia="zh-CN"/>
              </w:rPr>
              <w:t>项目主评人</w:t>
            </w:r>
            <w:r>
              <w:rPr>
                <w:rFonts w:hint="eastAsia" w:ascii="黑体" w:hAnsi="黑体" w:eastAsia="黑体" w:cs="仿宋_GB2312"/>
                <w:color w:val="000000"/>
                <w:sz w:val="20"/>
                <w:szCs w:val="20"/>
              </w:rPr>
              <w:t>（签字）</w:t>
            </w:r>
          </w:p>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及联系方式</w:t>
            </w:r>
          </w:p>
        </w:tc>
        <w:tc>
          <w:tcPr>
            <w:tcW w:w="2246" w:type="dxa"/>
            <w:gridSpan w:val="2"/>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p>
        </w:tc>
        <w:tc>
          <w:tcPr>
            <w:tcW w:w="2246" w:type="dxa"/>
            <w:gridSpan w:val="4"/>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法定代表人（签字）</w:t>
            </w:r>
          </w:p>
          <w:p>
            <w:pPr>
              <w:widowControl/>
              <w:adjustRightInd/>
              <w:snapToGrid/>
              <w:spacing w:line="320" w:lineRule="exact"/>
              <w:ind w:firstLine="0" w:firstLineChars="0"/>
              <w:jc w:val="center"/>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及联系方式</w:t>
            </w:r>
          </w:p>
        </w:tc>
        <w:tc>
          <w:tcPr>
            <w:tcW w:w="2246"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adjustRightInd/>
              <w:snapToGrid/>
              <w:spacing w:line="320" w:lineRule="exact"/>
              <w:ind w:firstLine="0" w:firstLineChars="0"/>
              <w:jc w:val="left"/>
              <w:textAlignment w:val="center"/>
              <w:rPr>
                <w:rFonts w:ascii="仿宋_GB2312" w:hAnsi="宋体" w:eastAsia="仿宋_GB2312" w:cs="仿宋_GB2312"/>
                <w:color w:val="000000"/>
                <w:sz w:val="20"/>
                <w:szCs w:val="20"/>
              </w:rPr>
            </w:pPr>
          </w:p>
        </w:tc>
      </w:tr>
    </w:tbl>
    <w:p>
      <w:pPr>
        <w:pStyle w:val="15"/>
        <w:keepNext w:val="0"/>
        <w:keepLines w:val="0"/>
        <w:pageBreakBefore w:val="0"/>
        <w:widowControl w:val="0"/>
        <w:tabs>
          <w:tab w:val="right" w:leader="dot" w:pos="8302"/>
        </w:tabs>
        <w:kinsoku/>
        <w:wordWrap/>
        <w:overflowPunct/>
        <w:topLinePunct w:val="0"/>
        <w:autoSpaceDE/>
        <w:autoSpaceDN/>
        <w:bidi w:val="0"/>
        <w:adjustRightInd w:val="0"/>
        <w:snapToGrid w:val="0"/>
        <w:spacing w:line="590" w:lineRule="exact"/>
        <w:ind w:firstLine="0" w:firstLineChars="0"/>
        <w:jc w:val="center"/>
        <w:textAlignment w:val="auto"/>
        <w:outlineLvl w:val="9"/>
        <w:rPr>
          <w:rFonts w:hint="eastAsia" w:ascii="方正小标宋简体" w:hAnsi="黑体" w:eastAsia="方正小标宋简体" w:cs="宋体"/>
          <w:sz w:val="44"/>
          <w:szCs w:val="44"/>
        </w:rPr>
        <w:sectPr>
          <w:footerReference r:id="rId4" w:type="default"/>
          <w:pgSz w:w="11906" w:h="16838"/>
          <w:pgMar w:top="1984" w:right="1474" w:bottom="1871" w:left="1474" w:header="851" w:footer="992" w:gutter="0"/>
          <w:pgNumType w:fmt="upperRoman" w:start="1"/>
          <w:cols w:space="425" w:num="1"/>
          <w:docGrid w:type="lines" w:linePitch="312" w:charSpace="0"/>
        </w:sectPr>
      </w:pPr>
      <w:bookmarkStart w:id="0" w:name="_Toc32555"/>
    </w:p>
    <w:bookmarkEnd w:id="0"/>
    <w:p>
      <w:pPr>
        <w:pStyle w:val="2"/>
        <w:spacing w:line="240" w:lineRule="auto"/>
        <w:rPr>
          <w:rFonts w:hint="default"/>
          <w:lang w:val="en-US" w:eastAsia="zh-CN"/>
        </w:rPr>
      </w:pPr>
      <w:bookmarkStart w:id="1" w:name="_GoBack"/>
      <w:bookmarkEnd w:id="1"/>
    </w:p>
    <w:sectPr>
      <w:footerReference r:id="rId5" w:type="default"/>
      <w:pgSz w:w="11906" w:h="16838"/>
      <w:pgMar w:top="1984" w:right="1474" w:bottom="1871"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5" name="文本框 2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llfG0WAgAAFw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JZXxtFgIAABcEAAAOAAAAAAAA&#10;AAEAIAAAAB8BAABkcnMvZTJvRG9jLnhtbFBLBQYAAAAABgAGAFkBAACnBQAAAAA=&#10;">
              <v:fill on="f" focussize="0,0"/>
              <v:stroke on="f" weight="0.5pt"/>
              <v:imagedata o:title=""/>
              <o:lock v:ext="edit" aspectratio="f"/>
              <v:textbox inset="0mm,0mm,0mm,0mm" style="mso-fit-shape-to-text:t;">
                <w:txbxContent>
                  <w:p>
                    <w:pPr>
                      <w:pStyle w:val="13"/>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973859"/>
    <w:multiLevelType w:val="singleLevel"/>
    <w:tmpl w:val="CD973859"/>
    <w:lvl w:ilvl="0" w:tentative="0">
      <w:start w:val="1"/>
      <w:numFmt w:val="chineseCounting"/>
      <w:suff w:val="nothing"/>
      <w:lvlText w:val="（%1）"/>
      <w:lvlJc w:val="left"/>
      <w:rPr>
        <w:rFonts w:hint="eastAsia"/>
      </w:rPr>
    </w:lvl>
  </w:abstractNum>
  <w:abstractNum w:abstractNumId="1">
    <w:nsid w:val="615BE032"/>
    <w:multiLevelType w:val="singleLevel"/>
    <w:tmpl w:val="615BE032"/>
    <w:lvl w:ilvl="0" w:tentative="0">
      <w:start w:val="3"/>
      <w:numFmt w:val="chineseCounting"/>
      <w:suff w:val="nothing"/>
      <w:lvlText w:val="（%1）"/>
      <w:lvlJc w:val="left"/>
      <w:rPr>
        <w:rFonts w:hint="eastAsia"/>
      </w:rPr>
    </w:lvl>
  </w:abstractNum>
  <w:abstractNum w:abstractNumId="2">
    <w:nsid w:val="630A04D7"/>
    <w:multiLevelType w:val="singleLevel"/>
    <w:tmpl w:val="630A04D7"/>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kNDU4ZWExZTAxN2FmMmZmZDE5M2I1NDY2NzQwNzEifQ=="/>
  </w:docVars>
  <w:rsids>
    <w:rsidRoot w:val="000B2C81"/>
    <w:rsid w:val="00001817"/>
    <w:rsid w:val="00042B62"/>
    <w:rsid w:val="0004377F"/>
    <w:rsid w:val="000947E5"/>
    <w:rsid w:val="000A4D20"/>
    <w:rsid w:val="000B2C81"/>
    <w:rsid w:val="000C3026"/>
    <w:rsid w:val="000F2CCE"/>
    <w:rsid w:val="001154AB"/>
    <w:rsid w:val="001353F0"/>
    <w:rsid w:val="001503F5"/>
    <w:rsid w:val="001628DB"/>
    <w:rsid w:val="001C16C0"/>
    <w:rsid w:val="001D1300"/>
    <w:rsid w:val="001E36F7"/>
    <w:rsid w:val="002066F2"/>
    <w:rsid w:val="00206B99"/>
    <w:rsid w:val="00206CC3"/>
    <w:rsid w:val="002253EC"/>
    <w:rsid w:val="0027098F"/>
    <w:rsid w:val="00290C27"/>
    <w:rsid w:val="002B6F3E"/>
    <w:rsid w:val="002D49A7"/>
    <w:rsid w:val="00305630"/>
    <w:rsid w:val="0031040E"/>
    <w:rsid w:val="00334E84"/>
    <w:rsid w:val="00344610"/>
    <w:rsid w:val="00346889"/>
    <w:rsid w:val="00382343"/>
    <w:rsid w:val="00393D42"/>
    <w:rsid w:val="003948AB"/>
    <w:rsid w:val="00397E51"/>
    <w:rsid w:val="003D26CA"/>
    <w:rsid w:val="003E5287"/>
    <w:rsid w:val="003E5A45"/>
    <w:rsid w:val="00404E2C"/>
    <w:rsid w:val="00407098"/>
    <w:rsid w:val="0042325A"/>
    <w:rsid w:val="004642A8"/>
    <w:rsid w:val="004949E9"/>
    <w:rsid w:val="004B1F61"/>
    <w:rsid w:val="004B4E15"/>
    <w:rsid w:val="00506917"/>
    <w:rsid w:val="0052524A"/>
    <w:rsid w:val="00540C6C"/>
    <w:rsid w:val="00547711"/>
    <w:rsid w:val="00551897"/>
    <w:rsid w:val="00582633"/>
    <w:rsid w:val="005839D9"/>
    <w:rsid w:val="005B2417"/>
    <w:rsid w:val="005C2368"/>
    <w:rsid w:val="005D7D2E"/>
    <w:rsid w:val="005E3113"/>
    <w:rsid w:val="0060354D"/>
    <w:rsid w:val="00611529"/>
    <w:rsid w:val="00617751"/>
    <w:rsid w:val="00673A18"/>
    <w:rsid w:val="006829E2"/>
    <w:rsid w:val="0068407B"/>
    <w:rsid w:val="00685F93"/>
    <w:rsid w:val="00695A3E"/>
    <w:rsid w:val="006C2A23"/>
    <w:rsid w:val="006F1052"/>
    <w:rsid w:val="006F2200"/>
    <w:rsid w:val="006F473D"/>
    <w:rsid w:val="00715E80"/>
    <w:rsid w:val="00730C80"/>
    <w:rsid w:val="007739FC"/>
    <w:rsid w:val="007857C0"/>
    <w:rsid w:val="00796AF7"/>
    <w:rsid w:val="007B4835"/>
    <w:rsid w:val="007C3A31"/>
    <w:rsid w:val="00830692"/>
    <w:rsid w:val="00862DDC"/>
    <w:rsid w:val="00875F32"/>
    <w:rsid w:val="008C0EB7"/>
    <w:rsid w:val="00931120"/>
    <w:rsid w:val="009374BE"/>
    <w:rsid w:val="009510CA"/>
    <w:rsid w:val="00961BAA"/>
    <w:rsid w:val="00975C9D"/>
    <w:rsid w:val="00983238"/>
    <w:rsid w:val="009B23FE"/>
    <w:rsid w:val="00A33831"/>
    <w:rsid w:val="00AD7B48"/>
    <w:rsid w:val="00B0604F"/>
    <w:rsid w:val="00B17689"/>
    <w:rsid w:val="00B277FC"/>
    <w:rsid w:val="00B93069"/>
    <w:rsid w:val="00B95A43"/>
    <w:rsid w:val="00BD5727"/>
    <w:rsid w:val="00BE511B"/>
    <w:rsid w:val="00BF090B"/>
    <w:rsid w:val="00C35DB8"/>
    <w:rsid w:val="00C51F87"/>
    <w:rsid w:val="00C72337"/>
    <w:rsid w:val="00C86B12"/>
    <w:rsid w:val="00C902A7"/>
    <w:rsid w:val="00CC74A2"/>
    <w:rsid w:val="00D05604"/>
    <w:rsid w:val="00D12302"/>
    <w:rsid w:val="00D274BD"/>
    <w:rsid w:val="00D33DCD"/>
    <w:rsid w:val="00D44C95"/>
    <w:rsid w:val="00D6763D"/>
    <w:rsid w:val="00D7752B"/>
    <w:rsid w:val="00D84DD8"/>
    <w:rsid w:val="00D91390"/>
    <w:rsid w:val="00DB4475"/>
    <w:rsid w:val="00DB5537"/>
    <w:rsid w:val="00DD0293"/>
    <w:rsid w:val="00DD4394"/>
    <w:rsid w:val="00DE38C9"/>
    <w:rsid w:val="00E15CE8"/>
    <w:rsid w:val="00E25C31"/>
    <w:rsid w:val="00E57EB4"/>
    <w:rsid w:val="00E86C44"/>
    <w:rsid w:val="00E943AF"/>
    <w:rsid w:val="00ED64C4"/>
    <w:rsid w:val="00EE020F"/>
    <w:rsid w:val="00F02530"/>
    <w:rsid w:val="00F10203"/>
    <w:rsid w:val="00F117FF"/>
    <w:rsid w:val="00F16B75"/>
    <w:rsid w:val="00F16BCA"/>
    <w:rsid w:val="00F83BCE"/>
    <w:rsid w:val="00F903DD"/>
    <w:rsid w:val="00FD1BBC"/>
    <w:rsid w:val="00FF60AA"/>
    <w:rsid w:val="01431A4A"/>
    <w:rsid w:val="01D270E4"/>
    <w:rsid w:val="021533E7"/>
    <w:rsid w:val="0262102B"/>
    <w:rsid w:val="02824E9A"/>
    <w:rsid w:val="0314369E"/>
    <w:rsid w:val="03317E85"/>
    <w:rsid w:val="03396ADD"/>
    <w:rsid w:val="03577A2F"/>
    <w:rsid w:val="03C2134C"/>
    <w:rsid w:val="03C86165"/>
    <w:rsid w:val="03EB504A"/>
    <w:rsid w:val="04333C79"/>
    <w:rsid w:val="047B14FB"/>
    <w:rsid w:val="04C12529"/>
    <w:rsid w:val="04EF214D"/>
    <w:rsid w:val="054400F6"/>
    <w:rsid w:val="056E368F"/>
    <w:rsid w:val="05F11A75"/>
    <w:rsid w:val="065754BA"/>
    <w:rsid w:val="06640499"/>
    <w:rsid w:val="066A7A79"/>
    <w:rsid w:val="07885892"/>
    <w:rsid w:val="07B979DF"/>
    <w:rsid w:val="07D211E9"/>
    <w:rsid w:val="08135953"/>
    <w:rsid w:val="082C023D"/>
    <w:rsid w:val="0862192A"/>
    <w:rsid w:val="08E1133E"/>
    <w:rsid w:val="08F5300C"/>
    <w:rsid w:val="09016473"/>
    <w:rsid w:val="093F6F9B"/>
    <w:rsid w:val="096D3B08"/>
    <w:rsid w:val="099472E7"/>
    <w:rsid w:val="09A13256"/>
    <w:rsid w:val="09D92F4C"/>
    <w:rsid w:val="0A5B6057"/>
    <w:rsid w:val="0A894972"/>
    <w:rsid w:val="0A95254D"/>
    <w:rsid w:val="0AAE2A4D"/>
    <w:rsid w:val="0B6158EF"/>
    <w:rsid w:val="0B680A2B"/>
    <w:rsid w:val="0B7078E0"/>
    <w:rsid w:val="0BC35C62"/>
    <w:rsid w:val="0BC96FF0"/>
    <w:rsid w:val="0BD94F1A"/>
    <w:rsid w:val="0C4411A9"/>
    <w:rsid w:val="0C913FB2"/>
    <w:rsid w:val="0CA84E57"/>
    <w:rsid w:val="0CD36378"/>
    <w:rsid w:val="0CD8080C"/>
    <w:rsid w:val="0CF26E35"/>
    <w:rsid w:val="0D312B29"/>
    <w:rsid w:val="0DA43F16"/>
    <w:rsid w:val="0DB77A48"/>
    <w:rsid w:val="0E10489D"/>
    <w:rsid w:val="0E1129CD"/>
    <w:rsid w:val="0E8611C8"/>
    <w:rsid w:val="0E947F83"/>
    <w:rsid w:val="0EC367AB"/>
    <w:rsid w:val="0F16079E"/>
    <w:rsid w:val="0F4D6993"/>
    <w:rsid w:val="0F4E6E17"/>
    <w:rsid w:val="0F5306E0"/>
    <w:rsid w:val="0F615EBD"/>
    <w:rsid w:val="0F7C6287"/>
    <w:rsid w:val="0F8F39EE"/>
    <w:rsid w:val="0FF00FEF"/>
    <w:rsid w:val="10006719"/>
    <w:rsid w:val="10134CDE"/>
    <w:rsid w:val="10C304B2"/>
    <w:rsid w:val="116A4DD1"/>
    <w:rsid w:val="119C36F3"/>
    <w:rsid w:val="121D1E44"/>
    <w:rsid w:val="123A47A4"/>
    <w:rsid w:val="12791770"/>
    <w:rsid w:val="128819B3"/>
    <w:rsid w:val="12BD4FBF"/>
    <w:rsid w:val="13305DCE"/>
    <w:rsid w:val="13405962"/>
    <w:rsid w:val="13826402"/>
    <w:rsid w:val="139212C1"/>
    <w:rsid w:val="139B5716"/>
    <w:rsid w:val="13A65682"/>
    <w:rsid w:val="13D50775"/>
    <w:rsid w:val="13EC5B6B"/>
    <w:rsid w:val="13FA243C"/>
    <w:rsid w:val="14411E19"/>
    <w:rsid w:val="14BB6070"/>
    <w:rsid w:val="14C678D1"/>
    <w:rsid w:val="152A0AFF"/>
    <w:rsid w:val="15475B55"/>
    <w:rsid w:val="156975A6"/>
    <w:rsid w:val="159E6A02"/>
    <w:rsid w:val="15C51757"/>
    <w:rsid w:val="15EF0577"/>
    <w:rsid w:val="1614104D"/>
    <w:rsid w:val="162966C2"/>
    <w:rsid w:val="163F05DA"/>
    <w:rsid w:val="16471C14"/>
    <w:rsid w:val="167364D6"/>
    <w:rsid w:val="16967401"/>
    <w:rsid w:val="16B914B5"/>
    <w:rsid w:val="16C60CFC"/>
    <w:rsid w:val="16D451C7"/>
    <w:rsid w:val="17390A0C"/>
    <w:rsid w:val="173B5246"/>
    <w:rsid w:val="17742506"/>
    <w:rsid w:val="17824C23"/>
    <w:rsid w:val="178A7F7B"/>
    <w:rsid w:val="17C214C3"/>
    <w:rsid w:val="17EE050A"/>
    <w:rsid w:val="181B6E25"/>
    <w:rsid w:val="18315D90"/>
    <w:rsid w:val="186500A0"/>
    <w:rsid w:val="18B01349"/>
    <w:rsid w:val="18B86005"/>
    <w:rsid w:val="196C2334"/>
    <w:rsid w:val="197D37E5"/>
    <w:rsid w:val="19AB61A2"/>
    <w:rsid w:val="19B80DD0"/>
    <w:rsid w:val="19C14543"/>
    <w:rsid w:val="19DC4392"/>
    <w:rsid w:val="1A31348C"/>
    <w:rsid w:val="1A6653C6"/>
    <w:rsid w:val="1AA6089F"/>
    <w:rsid w:val="1AA749A0"/>
    <w:rsid w:val="1AB802E0"/>
    <w:rsid w:val="1AB84FAE"/>
    <w:rsid w:val="1AD339E7"/>
    <w:rsid w:val="1B0378D6"/>
    <w:rsid w:val="1B291859"/>
    <w:rsid w:val="1B2A7AAB"/>
    <w:rsid w:val="1B6068D5"/>
    <w:rsid w:val="1B7E7771"/>
    <w:rsid w:val="1B8D5915"/>
    <w:rsid w:val="1BB47375"/>
    <w:rsid w:val="1BCB3504"/>
    <w:rsid w:val="1C370998"/>
    <w:rsid w:val="1CD06E7E"/>
    <w:rsid w:val="1CDA6935"/>
    <w:rsid w:val="1D0936F0"/>
    <w:rsid w:val="1DAE54A1"/>
    <w:rsid w:val="1DB069F7"/>
    <w:rsid w:val="1E032835"/>
    <w:rsid w:val="1E9D67E6"/>
    <w:rsid w:val="1F0423C1"/>
    <w:rsid w:val="1F2649C5"/>
    <w:rsid w:val="1F2B1F1C"/>
    <w:rsid w:val="1F2E38E2"/>
    <w:rsid w:val="1FB33769"/>
    <w:rsid w:val="1FCF5A59"/>
    <w:rsid w:val="1FD93CD3"/>
    <w:rsid w:val="20487AD5"/>
    <w:rsid w:val="20625ACF"/>
    <w:rsid w:val="20786BB6"/>
    <w:rsid w:val="208D3C12"/>
    <w:rsid w:val="209877E0"/>
    <w:rsid w:val="20E51F26"/>
    <w:rsid w:val="212A1E87"/>
    <w:rsid w:val="21313216"/>
    <w:rsid w:val="214361C9"/>
    <w:rsid w:val="21447C0E"/>
    <w:rsid w:val="2153170E"/>
    <w:rsid w:val="21AE4866"/>
    <w:rsid w:val="21BA320B"/>
    <w:rsid w:val="21ED538F"/>
    <w:rsid w:val="220A5F40"/>
    <w:rsid w:val="225415DA"/>
    <w:rsid w:val="2298179E"/>
    <w:rsid w:val="229972C4"/>
    <w:rsid w:val="229E0014"/>
    <w:rsid w:val="22A63DDB"/>
    <w:rsid w:val="22E06CA1"/>
    <w:rsid w:val="22F213AA"/>
    <w:rsid w:val="23151041"/>
    <w:rsid w:val="23C40371"/>
    <w:rsid w:val="23CD2828"/>
    <w:rsid w:val="23CD5478"/>
    <w:rsid w:val="24061B44"/>
    <w:rsid w:val="240850D6"/>
    <w:rsid w:val="249E6FD3"/>
    <w:rsid w:val="24B108F5"/>
    <w:rsid w:val="24D80578"/>
    <w:rsid w:val="24F66C50"/>
    <w:rsid w:val="25162E4E"/>
    <w:rsid w:val="251F0F28"/>
    <w:rsid w:val="25485C80"/>
    <w:rsid w:val="25506360"/>
    <w:rsid w:val="259A582D"/>
    <w:rsid w:val="25E1345C"/>
    <w:rsid w:val="260A28FF"/>
    <w:rsid w:val="26452856"/>
    <w:rsid w:val="26E25C8C"/>
    <w:rsid w:val="2719794A"/>
    <w:rsid w:val="272555CB"/>
    <w:rsid w:val="275C2E81"/>
    <w:rsid w:val="27E14FB2"/>
    <w:rsid w:val="27F77FF9"/>
    <w:rsid w:val="280B2A12"/>
    <w:rsid w:val="282A2449"/>
    <w:rsid w:val="283602E3"/>
    <w:rsid w:val="283755B5"/>
    <w:rsid w:val="286839C1"/>
    <w:rsid w:val="289A0280"/>
    <w:rsid w:val="290F6BB9"/>
    <w:rsid w:val="292D17AD"/>
    <w:rsid w:val="296D49B0"/>
    <w:rsid w:val="2A03533C"/>
    <w:rsid w:val="2A0D537E"/>
    <w:rsid w:val="2A2B429D"/>
    <w:rsid w:val="2A432FFD"/>
    <w:rsid w:val="2A4930F5"/>
    <w:rsid w:val="2A4F051C"/>
    <w:rsid w:val="2A832D34"/>
    <w:rsid w:val="2ABC4498"/>
    <w:rsid w:val="2B2142FB"/>
    <w:rsid w:val="2B4C1C61"/>
    <w:rsid w:val="2B7561E1"/>
    <w:rsid w:val="2B936FA7"/>
    <w:rsid w:val="2BF67536"/>
    <w:rsid w:val="2C2D40B2"/>
    <w:rsid w:val="2C2E4F21"/>
    <w:rsid w:val="2C3562B0"/>
    <w:rsid w:val="2C3B0C17"/>
    <w:rsid w:val="2C6426F1"/>
    <w:rsid w:val="2C8D6BF2"/>
    <w:rsid w:val="2CB76CC5"/>
    <w:rsid w:val="2CC338BC"/>
    <w:rsid w:val="2D1063D5"/>
    <w:rsid w:val="2D1E4F96"/>
    <w:rsid w:val="2D9179BF"/>
    <w:rsid w:val="2E342E51"/>
    <w:rsid w:val="2EAB2859"/>
    <w:rsid w:val="2ECF5C1E"/>
    <w:rsid w:val="2EF7784D"/>
    <w:rsid w:val="2EF91FDD"/>
    <w:rsid w:val="2EFC30B5"/>
    <w:rsid w:val="2F4B1D48"/>
    <w:rsid w:val="2F4D0D5C"/>
    <w:rsid w:val="2FE57FED"/>
    <w:rsid w:val="2FF034A9"/>
    <w:rsid w:val="301A5EE8"/>
    <w:rsid w:val="302103B3"/>
    <w:rsid w:val="30562C99"/>
    <w:rsid w:val="305F38FB"/>
    <w:rsid w:val="30B577D2"/>
    <w:rsid w:val="31181CFC"/>
    <w:rsid w:val="31745184"/>
    <w:rsid w:val="31A46802"/>
    <w:rsid w:val="31EB3A0F"/>
    <w:rsid w:val="31EE5761"/>
    <w:rsid w:val="322A6EE5"/>
    <w:rsid w:val="323C01F0"/>
    <w:rsid w:val="324F74C3"/>
    <w:rsid w:val="325D5949"/>
    <w:rsid w:val="326557B4"/>
    <w:rsid w:val="32722151"/>
    <w:rsid w:val="334E79C3"/>
    <w:rsid w:val="33582884"/>
    <w:rsid w:val="3381002D"/>
    <w:rsid w:val="338D077F"/>
    <w:rsid w:val="33A904D9"/>
    <w:rsid w:val="33B85BB7"/>
    <w:rsid w:val="33E944E4"/>
    <w:rsid w:val="347D07F4"/>
    <w:rsid w:val="348F2DF7"/>
    <w:rsid w:val="34943D90"/>
    <w:rsid w:val="34C71A6F"/>
    <w:rsid w:val="34DF5379"/>
    <w:rsid w:val="34E940DB"/>
    <w:rsid w:val="3509652C"/>
    <w:rsid w:val="354918B2"/>
    <w:rsid w:val="356318B3"/>
    <w:rsid w:val="3592207D"/>
    <w:rsid w:val="35A97A68"/>
    <w:rsid w:val="361A4768"/>
    <w:rsid w:val="363E1463"/>
    <w:rsid w:val="367D087D"/>
    <w:rsid w:val="36AF43DE"/>
    <w:rsid w:val="36F95197"/>
    <w:rsid w:val="372E4A6B"/>
    <w:rsid w:val="373A0C1E"/>
    <w:rsid w:val="373A3126"/>
    <w:rsid w:val="374E2ACA"/>
    <w:rsid w:val="37B54749"/>
    <w:rsid w:val="37C91FA2"/>
    <w:rsid w:val="37F207FA"/>
    <w:rsid w:val="38274431"/>
    <w:rsid w:val="382947EF"/>
    <w:rsid w:val="385B52F0"/>
    <w:rsid w:val="389425B0"/>
    <w:rsid w:val="38B62526"/>
    <w:rsid w:val="3914549F"/>
    <w:rsid w:val="394343E1"/>
    <w:rsid w:val="3951565B"/>
    <w:rsid w:val="39A84565"/>
    <w:rsid w:val="39B60304"/>
    <w:rsid w:val="39B63E81"/>
    <w:rsid w:val="39C42A21"/>
    <w:rsid w:val="3A175247"/>
    <w:rsid w:val="3A2C2B3E"/>
    <w:rsid w:val="3A886145"/>
    <w:rsid w:val="3AC431A0"/>
    <w:rsid w:val="3AC73917"/>
    <w:rsid w:val="3B4F27BE"/>
    <w:rsid w:val="3B954675"/>
    <w:rsid w:val="3BBD16EB"/>
    <w:rsid w:val="3BD84CE5"/>
    <w:rsid w:val="3C1919F7"/>
    <w:rsid w:val="3C21415B"/>
    <w:rsid w:val="3C2B322B"/>
    <w:rsid w:val="3D1A033B"/>
    <w:rsid w:val="3D3B56F0"/>
    <w:rsid w:val="3D8A3F82"/>
    <w:rsid w:val="3DB50FFF"/>
    <w:rsid w:val="3DE10046"/>
    <w:rsid w:val="3E0D7663"/>
    <w:rsid w:val="3E344619"/>
    <w:rsid w:val="3E7F33BB"/>
    <w:rsid w:val="3EAA7D10"/>
    <w:rsid w:val="3EB83502"/>
    <w:rsid w:val="3F3441A5"/>
    <w:rsid w:val="3F67211E"/>
    <w:rsid w:val="3FB62E0C"/>
    <w:rsid w:val="3FC03C8B"/>
    <w:rsid w:val="406D3E12"/>
    <w:rsid w:val="407F23BC"/>
    <w:rsid w:val="408D0011"/>
    <w:rsid w:val="408E4649"/>
    <w:rsid w:val="40A84E4B"/>
    <w:rsid w:val="41151DB4"/>
    <w:rsid w:val="41472526"/>
    <w:rsid w:val="416C19F9"/>
    <w:rsid w:val="41A41AB6"/>
    <w:rsid w:val="41A619AA"/>
    <w:rsid w:val="428347BC"/>
    <w:rsid w:val="42A50ADD"/>
    <w:rsid w:val="42A7677F"/>
    <w:rsid w:val="43170066"/>
    <w:rsid w:val="4332030B"/>
    <w:rsid w:val="4383394D"/>
    <w:rsid w:val="43B9736F"/>
    <w:rsid w:val="43DB72E5"/>
    <w:rsid w:val="43FF1225"/>
    <w:rsid w:val="447C5AC3"/>
    <w:rsid w:val="4488746D"/>
    <w:rsid w:val="451A208F"/>
    <w:rsid w:val="453018B3"/>
    <w:rsid w:val="454C301F"/>
    <w:rsid w:val="45603D11"/>
    <w:rsid w:val="45A64DC3"/>
    <w:rsid w:val="45A73B29"/>
    <w:rsid w:val="466B7198"/>
    <w:rsid w:val="46923290"/>
    <w:rsid w:val="46F30DEA"/>
    <w:rsid w:val="471A1ED2"/>
    <w:rsid w:val="474178BD"/>
    <w:rsid w:val="47BB36B5"/>
    <w:rsid w:val="47EE054A"/>
    <w:rsid w:val="47F87D72"/>
    <w:rsid w:val="483B624A"/>
    <w:rsid w:val="486573A8"/>
    <w:rsid w:val="488501FF"/>
    <w:rsid w:val="48895562"/>
    <w:rsid w:val="48BD4E52"/>
    <w:rsid w:val="491A440C"/>
    <w:rsid w:val="491F3830"/>
    <w:rsid w:val="49431BB4"/>
    <w:rsid w:val="49521DF7"/>
    <w:rsid w:val="49667147"/>
    <w:rsid w:val="49747FC0"/>
    <w:rsid w:val="499473F3"/>
    <w:rsid w:val="49FA76B4"/>
    <w:rsid w:val="4A233794"/>
    <w:rsid w:val="4A301A0D"/>
    <w:rsid w:val="4A783AE0"/>
    <w:rsid w:val="4A7F4E6E"/>
    <w:rsid w:val="4A815509"/>
    <w:rsid w:val="4A985F30"/>
    <w:rsid w:val="4AD625B4"/>
    <w:rsid w:val="4ADB406F"/>
    <w:rsid w:val="4B2A660D"/>
    <w:rsid w:val="4BA07586"/>
    <w:rsid w:val="4BCE14DD"/>
    <w:rsid w:val="4CCC0113"/>
    <w:rsid w:val="4D29762D"/>
    <w:rsid w:val="4D8D2A3B"/>
    <w:rsid w:val="4DAB391E"/>
    <w:rsid w:val="4DBD7A5B"/>
    <w:rsid w:val="4DDC45F6"/>
    <w:rsid w:val="4DEF55A0"/>
    <w:rsid w:val="4E2D4BE1"/>
    <w:rsid w:val="4E3C3946"/>
    <w:rsid w:val="4F082F58"/>
    <w:rsid w:val="4F10078B"/>
    <w:rsid w:val="4F135B85"/>
    <w:rsid w:val="4F1F460E"/>
    <w:rsid w:val="4F691C49"/>
    <w:rsid w:val="4FB1539E"/>
    <w:rsid w:val="4FE85264"/>
    <w:rsid w:val="4FFF435B"/>
    <w:rsid w:val="50025761"/>
    <w:rsid w:val="502C11D2"/>
    <w:rsid w:val="50333905"/>
    <w:rsid w:val="50700DB5"/>
    <w:rsid w:val="50974594"/>
    <w:rsid w:val="5149095A"/>
    <w:rsid w:val="5163022B"/>
    <w:rsid w:val="517B4E84"/>
    <w:rsid w:val="5188684B"/>
    <w:rsid w:val="51A056CA"/>
    <w:rsid w:val="52354064"/>
    <w:rsid w:val="52A963E6"/>
    <w:rsid w:val="52C0555B"/>
    <w:rsid w:val="530C1269"/>
    <w:rsid w:val="533662E6"/>
    <w:rsid w:val="54350370"/>
    <w:rsid w:val="548B52D8"/>
    <w:rsid w:val="5520724E"/>
    <w:rsid w:val="55375274"/>
    <w:rsid w:val="555A3A26"/>
    <w:rsid w:val="5588094F"/>
    <w:rsid w:val="55911FF4"/>
    <w:rsid w:val="559612BE"/>
    <w:rsid w:val="55DB13C7"/>
    <w:rsid w:val="56101070"/>
    <w:rsid w:val="564725B8"/>
    <w:rsid w:val="56701B0F"/>
    <w:rsid w:val="568B7B5F"/>
    <w:rsid w:val="56AF5AF8"/>
    <w:rsid w:val="56C8194B"/>
    <w:rsid w:val="56DA46C6"/>
    <w:rsid w:val="56DB53B8"/>
    <w:rsid w:val="56E85B49"/>
    <w:rsid w:val="56F42740"/>
    <w:rsid w:val="57331695"/>
    <w:rsid w:val="582C7CB7"/>
    <w:rsid w:val="582F100E"/>
    <w:rsid w:val="590B3D71"/>
    <w:rsid w:val="591C1ADA"/>
    <w:rsid w:val="593D3893"/>
    <w:rsid w:val="5991322E"/>
    <w:rsid w:val="59AF0BA0"/>
    <w:rsid w:val="59BC506B"/>
    <w:rsid w:val="59F05AA8"/>
    <w:rsid w:val="5A786342"/>
    <w:rsid w:val="5A8D47DB"/>
    <w:rsid w:val="5AF26F96"/>
    <w:rsid w:val="5B172EA1"/>
    <w:rsid w:val="5B1F0651"/>
    <w:rsid w:val="5B3475AF"/>
    <w:rsid w:val="5B5A2FDF"/>
    <w:rsid w:val="5B9A5C5C"/>
    <w:rsid w:val="5C700ABB"/>
    <w:rsid w:val="5C9F6CAA"/>
    <w:rsid w:val="5CE64EEC"/>
    <w:rsid w:val="5CE768A3"/>
    <w:rsid w:val="5CF303FA"/>
    <w:rsid w:val="5CF64D40"/>
    <w:rsid w:val="5D07069B"/>
    <w:rsid w:val="5D1859F9"/>
    <w:rsid w:val="5D241B40"/>
    <w:rsid w:val="5D3F223B"/>
    <w:rsid w:val="5D675DD5"/>
    <w:rsid w:val="5D683540"/>
    <w:rsid w:val="5D812854"/>
    <w:rsid w:val="5D8408D0"/>
    <w:rsid w:val="5DB21060"/>
    <w:rsid w:val="5DD25AD6"/>
    <w:rsid w:val="5E393D9C"/>
    <w:rsid w:val="5E513ADF"/>
    <w:rsid w:val="5E8B1BDC"/>
    <w:rsid w:val="5EA340F5"/>
    <w:rsid w:val="5ED71CEC"/>
    <w:rsid w:val="5EDD790A"/>
    <w:rsid w:val="5F2636B2"/>
    <w:rsid w:val="5F5C70D4"/>
    <w:rsid w:val="5F8D54E0"/>
    <w:rsid w:val="60597AB8"/>
    <w:rsid w:val="60762418"/>
    <w:rsid w:val="6105554A"/>
    <w:rsid w:val="612602E3"/>
    <w:rsid w:val="6138591F"/>
    <w:rsid w:val="61442516"/>
    <w:rsid w:val="61465EF4"/>
    <w:rsid w:val="614F48DB"/>
    <w:rsid w:val="615564D1"/>
    <w:rsid w:val="61754F17"/>
    <w:rsid w:val="618E53E5"/>
    <w:rsid w:val="61926DDD"/>
    <w:rsid w:val="61B72CE8"/>
    <w:rsid w:val="61C46E93"/>
    <w:rsid w:val="61C87728"/>
    <w:rsid w:val="620A72BB"/>
    <w:rsid w:val="62167E89"/>
    <w:rsid w:val="62197A51"/>
    <w:rsid w:val="62C366F8"/>
    <w:rsid w:val="631A3502"/>
    <w:rsid w:val="63251ED3"/>
    <w:rsid w:val="634265E1"/>
    <w:rsid w:val="635F53E5"/>
    <w:rsid w:val="637471B2"/>
    <w:rsid w:val="63783824"/>
    <w:rsid w:val="6395301B"/>
    <w:rsid w:val="63A61A51"/>
    <w:rsid w:val="642301C1"/>
    <w:rsid w:val="6428796E"/>
    <w:rsid w:val="642E7202"/>
    <w:rsid w:val="645546FE"/>
    <w:rsid w:val="6457602B"/>
    <w:rsid w:val="646F4542"/>
    <w:rsid w:val="64A70DF2"/>
    <w:rsid w:val="64C25C2B"/>
    <w:rsid w:val="6507323B"/>
    <w:rsid w:val="652C12F7"/>
    <w:rsid w:val="65652619"/>
    <w:rsid w:val="65DD3899"/>
    <w:rsid w:val="65F22540"/>
    <w:rsid w:val="667F0B62"/>
    <w:rsid w:val="66855163"/>
    <w:rsid w:val="669E2F5F"/>
    <w:rsid w:val="66CD4D5B"/>
    <w:rsid w:val="673720FF"/>
    <w:rsid w:val="674C7A2E"/>
    <w:rsid w:val="677551D7"/>
    <w:rsid w:val="68D76DD6"/>
    <w:rsid w:val="691526A7"/>
    <w:rsid w:val="692844CB"/>
    <w:rsid w:val="6949264F"/>
    <w:rsid w:val="69DC7299"/>
    <w:rsid w:val="6A1862EE"/>
    <w:rsid w:val="6A5F3F1C"/>
    <w:rsid w:val="6ABA1794"/>
    <w:rsid w:val="6AC65D4A"/>
    <w:rsid w:val="6B082581"/>
    <w:rsid w:val="6B0A20DA"/>
    <w:rsid w:val="6B166CD1"/>
    <w:rsid w:val="6B53207D"/>
    <w:rsid w:val="6B9B22E3"/>
    <w:rsid w:val="6BB014C9"/>
    <w:rsid w:val="6BBD0EFB"/>
    <w:rsid w:val="6BC56001"/>
    <w:rsid w:val="6BC71B1E"/>
    <w:rsid w:val="6BD85D34"/>
    <w:rsid w:val="6C032245"/>
    <w:rsid w:val="6C1A00FB"/>
    <w:rsid w:val="6C3A254B"/>
    <w:rsid w:val="6C81017A"/>
    <w:rsid w:val="6CC10EBE"/>
    <w:rsid w:val="6CEE1BD8"/>
    <w:rsid w:val="6D800432"/>
    <w:rsid w:val="6EA91C0A"/>
    <w:rsid w:val="6EC24A01"/>
    <w:rsid w:val="6EDA1DC4"/>
    <w:rsid w:val="6EEF4970"/>
    <w:rsid w:val="6EF83BD4"/>
    <w:rsid w:val="6F3B3C47"/>
    <w:rsid w:val="6F8166E3"/>
    <w:rsid w:val="6F9C351D"/>
    <w:rsid w:val="6FA36659"/>
    <w:rsid w:val="6FE4739E"/>
    <w:rsid w:val="701F1074"/>
    <w:rsid w:val="70357BF9"/>
    <w:rsid w:val="70553DF8"/>
    <w:rsid w:val="709F2BE9"/>
    <w:rsid w:val="71486BB5"/>
    <w:rsid w:val="71626F68"/>
    <w:rsid w:val="717A6480"/>
    <w:rsid w:val="71AD29E2"/>
    <w:rsid w:val="71FB277D"/>
    <w:rsid w:val="72760055"/>
    <w:rsid w:val="72933CA0"/>
    <w:rsid w:val="729C0A5C"/>
    <w:rsid w:val="72A54591"/>
    <w:rsid w:val="73836ECE"/>
    <w:rsid w:val="73852C46"/>
    <w:rsid w:val="738642C8"/>
    <w:rsid w:val="73C13560"/>
    <w:rsid w:val="73D84F9C"/>
    <w:rsid w:val="73DB0AB8"/>
    <w:rsid w:val="73DD5247"/>
    <w:rsid w:val="74393AF4"/>
    <w:rsid w:val="743E6F5B"/>
    <w:rsid w:val="75153B55"/>
    <w:rsid w:val="756845CD"/>
    <w:rsid w:val="756D4D09"/>
    <w:rsid w:val="75DE5305"/>
    <w:rsid w:val="75ED062E"/>
    <w:rsid w:val="76441F3A"/>
    <w:rsid w:val="764D731F"/>
    <w:rsid w:val="76D8308D"/>
    <w:rsid w:val="76DD76E3"/>
    <w:rsid w:val="76E45ED5"/>
    <w:rsid w:val="76E934EC"/>
    <w:rsid w:val="77147E3D"/>
    <w:rsid w:val="77212C85"/>
    <w:rsid w:val="77275DC2"/>
    <w:rsid w:val="775A5532"/>
    <w:rsid w:val="77C92F15"/>
    <w:rsid w:val="77D548DA"/>
    <w:rsid w:val="78055F30"/>
    <w:rsid w:val="780D64E0"/>
    <w:rsid w:val="78450BF6"/>
    <w:rsid w:val="78764DC8"/>
    <w:rsid w:val="78DE6954"/>
    <w:rsid w:val="79444427"/>
    <w:rsid w:val="796706F8"/>
    <w:rsid w:val="79EB30D7"/>
    <w:rsid w:val="7A17211E"/>
    <w:rsid w:val="7A3507F6"/>
    <w:rsid w:val="7A6A57CA"/>
    <w:rsid w:val="7A6B61DE"/>
    <w:rsid w:val="7A926EB1"/>
    <w:rsid w:val="7B116B6D"/>
    <w:rsid w:val="7B340AAD"/>
    <w:rsid w:val="7BAB5214"/>
    <w:rsid w:val="7BB07DD6"/>
    <w:rsid w:val="7BB25ADB"/>
    <w:rsid w:val="7BB65DCF"/>
    <w:rsid w:val="7BC02341"/>
    <w:rsid w:val="7BFE1D1C"/>
    <w:rsid w:val="7C077F70"/>
    <w:rsid w:val="7C2F7BF3"/>
    <w:rsid w:val="7C7074B1"/>
    <w:rsid w:val="7C7D4DA4"/>
    <w:rsid w:val="7C935313"/>
    <w:rsid w:val="7CA10BE9"/>
    <w:rsid w:val="7CAE6C3F"/>
    <w:rsid w:val="7CDD764F"/>
    <w:rsid w:val="7D384885"/>
    <w:rsid w:val="7D624E72"/>
    <w:rsid w:val="7D724DC2"/>
    <w:rsid w:val="7D924422"/>
    <w:rsid w:val="7DAE2931"/>
    <w:rsid w:val="7DD05865"/>
    <w:rsid w:val="7E39557F"/>
    <w:rsid w:val="7E803AE8"/>
    <w:rsid w:val="7E867872"/>
    <w:rsid w:val="7EAD3051"/>
    <w:rsid w:val="7EFC5948"/>
    <w:rsid w:val="7F036FF7"/>
    <w:rsid w:val="7FA5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39" w:semiHidden="0"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90" w:lineRule="atLeast"/>
      <w:ind w:firstLine="200" w:firstLineChars="200"/>
      <w:jc w:val="both"/>
    </w:pPr>
    <w:rPr>
      <w:rFonts w:ascii="仿宋_GB2312" w:hAnsi="仿宋_GB2312" w:eastAsia="仿宋_GB2312" w:cs="仿宋_GB2312"/>
      <w:spacing w:val="6"/>
      <w:kern w:val="2"/>
      <w:sz w:val="32"/>
      <w:szCs w:val="22"/>
      <w:lang w:val="en-US" w:eastAsia="zh-CN" w:bidi="ar-SA"/>
    </w:rPr>
  </w:style>
  <w:style w:type="paragraph" w:styleId="3">
    <w:name w:val="heading 1"/>
    <w:basedOn w:val="1"/>
    <w:next w:val="1"/>
    <w:link w:val="30"/>
    <w:qFormat/>
    <w:uiPriority w:val="9"/>
    <w:pPr>
      <w:keepNext/>
      <w:keepLines/>
      <w:outlineLvl w:val="0"/>
    </w:pPr>
    <w:rPr>
      <w:rFonts w:eastAsia="黑体"/>
      <w:bCs/>
      <w:kern w:val="44"/>
      <w:szCs w:val="44"/>
    </w:rPr>
  </w:style>
  <w:style w:type="paragraph" w:styleId="4">
    <w:name w:val="heading 2"/>
    <w:basedOn w:val="1"/>
    <w:next w:val="1"/>
    <w:link w:val="33"/>
    <w:unhideWhenUsed/>
    <w:qFormat/>
    <w:uiPriority w:val="9"/>
    <w:pPr>
      <w:keepNext/>
      <w:keepLines/>
      <w:outlineLvl w:val="1"/>
    </w:pPr>
    <w:rPr>
      <w:rFonts w:ascii="楷体_GB2312" w:hAnsi="楷体_GB2312" w:eastAsia="楷体_GB2312" w:cs="楷体"/>
      <w:b/>
      <w:bCs/>
      <w:szCs w:val="32"/>
    </w:rPr>
  </w:style>
  <w:style w:type="paragraph" w:styleId="5">
    <w:name w:val="heading 3"/>
    <w:basedOn w:val="1"/>
    <w:next w:val="1"/>
    <w:link w:val="38"/>
    <w:unhideWhenUsed/>
    <w:qFormat/>
    <w:uiPriority w:val="9"/>
    <w:pPr>
      <w:keepNext/>
      <w:keepLines/>
      <w:outlineLvl w:val="2"/>
    </w:pPr>
    <w:rPr>
      <w:b/>
      <w:bCs/>
      <w:szCs w:val="32"/>
    </w:rPr>
  </w:style>
  <w:style w:type="paragraph" w:styleId="6">
    <w:name w:val="heading 4"/>
    <w:basedOn w:val="1"/>
    <w:next w:val="1"/>
    <w:link w:val="50"/>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spacing w:line="590" w:lineRule="exact"/>
      <w:ind w:firstLine="420" w:firstLineChars="200"/>
    </w:pPr>
    <w:rPr>
      <w:rFonts w:ascii="仿宋_GB2312" w:hAnsi="仿宋_GB2312" w:eastAsia="仿宋_GB2312" w:cs="Times New Roman"/>
      <w:szCs w:val="21"/>
    </w:rPr>
  </w:style>
  <w:style w:type="paragraph" w:styleId="7">
    <w:name w:val="annotation text"/>
    <w:basedOn w:val="1"/>
    <w:link w:val="36"/>
    <w:qFormat/>
    <w:uiPriority w:val="0"/>
    <w:pPr>
      <w:spacing w:line="560" w:lineRule="exact"/>
      <w:jc w:val="left"/>
    </w:pPr>
    <w:rPr>
      <w:rFonts w:hAnsi="Times New Roman" w:cs="Arial"/>
      <w:sz w:val="32"/>
    </w:rPr>
  </w:style>
  <w:style w:type="paragraph" w:styleId="8">
    <w:name w:val="Body Text"/>
    <w:basedOn w:val="1"/>
    <w:next w:val="2"/>
    <w:qFormat/>
    <w:uiPriority w:val="0"/>
    <w:pPr>
      <w:spacing w:after="120"/>
    </w:pPr>
  </w:style>
  <w:style w:type="paragraph" w:styleId="9">
    <w:name w:val="Body Text Indent"/>
    <w:basedOn w:val="1"/>
    <w:next w:val="10"/>
    <w:qFormat/>
    <w:uiPriority w:val="0"/>
    <w:pPr>
      <w:spacing w:after="120"/>
      <w:ind w:left="420" w:leftChars="200"/>
    </w:pPr>
  </w:style>
  <w:style w:type="paragraph" w:styleId="10">
    <w:name w:val="Body Text Indent 2"/>
    <w:basedOn w:val="1"/>
    <w:next w:val="11"/>
    <w:qFormat/>
    <w:uiPriority w:val="0"/>
    <w:pPr>
      <w:spacing w:after="120" w:line="480" w:lineRule="auto"/>
      <w:ind w:left="420" w:leftChars="200"/>
    </w:pPr>
  </w:style>
  <w:style w:type="paragraph" w:styleId="11">
    <w:name w:val="Body Text Indent 3"/>
    <w:basedOn w:val="1"/>
    <w:qFormat/>
    <w:uiPriority w:val="99"/>
    <w:pPr>
      <w:ind w:left="200" w:leftChars="200"/>
    </w:pPr>
    <w:rPr>
      <w:sz w:val="16"/>
      <w:szCs w:val="16"/>
    </w:rPr>
  </w:style>
  <w:style w:type="paragraph" w:styleId="12">
    <w:name w:val="Balloon Text"/>
    <w:basedOn w:val="1"/>
    <w:link w:val="37"/>
    <w:semiHidden/>
    <w:unhideWhenUsed/>
    <w:qFormat/>
    <w:uiPriority w:val="99"/>
    <w:pPr>
      <w:spacing w:line="240" w:lineRule="auto"/>
    </w:pPr>
    <w:rPr>
      <w:sz w:val="18"/>
      <w:szCs w:val="18"/>
    </w:rPr>
  </w:style>
  <w:style w:type="paragraph" w:styleId="13">
    <w:name w:val="footer"/>
    <w:basedOn w:val="1"/>
    <w:link w:val="32"/>
    <w:unhideWhenUsed/>
    <w:qFormat/>
    <w:uiPriority w:val="99"/>
    <w:pPr>
      <w:tabs>
        <w:tab w:val="center" w:pos="4153"/>
        <w:tab w:val="right" w:pos="8306"/>
      </w:tabs>
      <w:jc w:val="left"/>
    </w:pPr>
    <w:rPr>
      <w:sz w:val="18"/>
      <w:szCs w:val="18"/>
    </w:rPr>
  </w:style>
  <w:style w:type="paragraph" w:styleId="14">
    <w:name w:val="header"/>
    <w:basedOn w:val="1"/>
    <w:link w:val="31"/>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rPr>
      <w:rFonts w:ascii="Times New Roman" w:hAnsi="Times New Roman" w:eastAsia="宋体" w:cs="Times New Roman"/>
      <w:szCs w:val="24"/>
    </w:rPr>
  </w:style>
  <w:style w:type="paragraph" w:styleId="16">
    <w:name w:val="Subtitle"/>
    <w:basedOn w:val="1"/>
    <w:next w:val="1"/>
    <w:link w:val="35"/>
    <w:qFormat/>
    <w:uiPriority w:val="11"/>
    <w:pPr>
      <w:spacing w:line="560" w:lineRule="atLeast"/>
      <w:ind w:firstLine="0" w:firstLineChars="0"/>
      <w:jc w:val="center"/>
      <w:outlineLvl w:val="1"/>
    </w:pPr>
    <w:rPr>
      <w:rFonts w:ascii="黑体" w:hAnsi="黑体" w:eastAsia="黑体" w:cstheme="majorBidi"/>
      <w:bCs/>
      <w:kern w:val="28"/>
      <w:sz w:val="21"/>
      <w:szCs w:val="32"/>
    </w:rPr>
  </w:style>
  <w:style w:type="paragraph" w:styleId="17">
    <w:name w:val="footnote text"/>
    <w:basedOn w:val="1"/>
    <w:link w:val="39"/>
    <w:qFormat/>
    <w:uiPriority w:val="0"/>
    <w:pPr>
      <w:spacing w:line="560" w:lineRule="exact"/>
      <w:jc w:val="left"/>
    </w:pPr>
    <w:rPr>
      <w:rFonts w:hAnsi="Times New Roman" w:cs="Times New Roman"/>
      <w:spacing w:val="6"/>
      <w:sz w:val="18"/>
      <w:szCs w:val="18"/>
    </w:rPr>
  </w:style>
  <w:style w:type="paragraph" w:styleId="18">
    <w:name w:val="index 9"/>
    <w:basedOn w:val="1"/>
    <w:next w:val="1"/>
    <w:qFormat/>
    <w:uiPriority w:val="0"/>
    <w:pPr>
      <w:ind w:left="3360"/>
    </w:pPr>
  </w:style>
  <w:style w:type="paragraph" w:styleId="19">
    <w:name w:val="toc 2"/>
    <w:basedOn w:val="1"/>
    <w:next w:val="1"/>
    <w:semiHidden/>
    <w:unhideWhenUsed/>
    <w:qFormat/>
    <w:uiPriority w:val="39"/>
    <w:pPr>
      <w:ind w:left="420" w:leftChars="200"/>
    </w:pPr>
  </w:style>
  <w:style w:type="paragraph" w:styleId="20">
    <w:name w:val="Normal (Web)"/>
    <w:basedOn w:val="1"/>
    <w:next w:val="18"/>
    <w:qFormat/>
    <w:uiPriority w:val="99"/>
    <w:pPr>
      <w:spacing w:before="100" w:beforeAutospacing="1" w:after="100" w:afterAutospacing="1"/>
      <w:jc w:val="left"/>
    </w:pPr>
    <w:rPr>
      <w:kern w:val="0"/>
      <w:sz w:val="24"/>
    </w:rPr>
  </w:style>
  <w:style w:type="paragraph" w:styleId="21">
    <w:name w:val="Title"/>
    <w:basedOn w:val="1"/>
    <w:next w:val="1"/>
    <w:link w:val="34"/>
    <w:qFormat/>
    <w:uiPriority w:val="10"/>
    <w:pPr>
      <w:jc w:val="center"/>
      <w:outlineLvl w:val="0"/>
    </w:pPr>
    <w:rPr>
      <w:rFonts w:asciiTheme="majorHAnsi" w:hAnsiTheme="majorHAnsi" w:cstheme="majorBidi"/>
      <w:b/>
      <w:bCs/>
      <w:szCs w:val="32"/>
    </w:rPr>
  </w:style>
  <w:style w:type="paragraph" w:styleId="22">
    <w:name w:val="Body Text First Indent 2"/>
    <w:basedOn w:val="9"/>
    <w:next w:val="13"/>
    <w:qFormat/>
    <w:uiPriority w:val="0"/>
    <w:pPr>
      <w:widowControl w:val="0"/>
      <w:spacing w:after="120"/>
      <w:ind w:left="200" w:leftChars="200" w:firstLine="200" w:firstLineChars="200"/>
      <w:jc w:val="both"/>
    </w:pPr>
    <w:rPr>
      <w:rFonts w:ascii="Times New Roman" w:hAnsi="Times New Roman" w:eastAsia="宋体" w:cs="Times New Roman"/>
      <w:kern w:val="2"/>
      <w:sz w:val="21"/>
      <w:szCs w:val="21"/>
      <w:lang w:val="en-US" w:eastAsia="zh-CN" w:bidi="ar-SA"/>
    </w:rPr>
  </w:style>
  <w:style w:type="table" w:styleId="24">
    <w:name w:val="Table Grid"/>
    <w:basedOn w:val="23"/>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Emphasis"/>
    <w:qFormat/>
    <w:uiPriority w:val="0"/>
    <w:rPr>
      <w:rFonts w:ascii="Times New Roman" w:hAnsi="Times New Roman" w:eastAsia="黑体"/>
      <w:iCs/>
      <w:sz w:val="24"/>
    </w:rPr>
  </w:style>
  <w:style w:type="character" w:styleId="27">
    <w:name w:val="annotation reference"/>
    <w:basedOn w:val="25"/>
    <w:qFormat/>
    <w:uiPriority w:val="0"/>
    <w:rPr>
      <w:sz w:val="21"/>
      <w:szCs w:val="21"/>
    </w:rPr>
  </w:style>
  <w:style w:type="character" w:styleId="28">
    <w:name w:val="footnote reference"/>
    <w:basedOn w:val="25"/>
    <w:qFormat/>
    <w:uiPriority w:val="0"/>
    <w:rPr>
      <w:vertAlign w:val="superscript"/>
    </w:rPr>
  </w:style>
  <w:style w:type="paragraph" w:customStyle="1" w:styleId="29">
    <w:name w:val="表头"/>
    <w:basedOn w:val="1"/>
    <w:qFormat/>
    <w:uiPriority w:val="0"/>
    <w:pPr>
      <w:ind w:firstLine="0" w:firstLineChars="0"/>
      <w:jc w:val="center"/>
    </w:pPr>
    <w:rPr>
      <w:rFonts w:ascii="黑体" w:hAnsi="黑体" w:eastAsia="黑体" w:cs="Times New Roman"/>
      <w:sz w:val="21"/>
      <w:szCs w:val="24"/>
    </w:rPr>
  </w:style>
  <w:style w:type="character" w:customStyle="1" w:styleId="30">
    <w:name w:val="标题 1 Char"/>
    <w:basedOn w:val="25"/>
    <w:link w:val="3"/>
    <w:qFormat/>
    <w:uiPriority w:val="9"/>
    <w:rPr>
      <w:rFonts w:ascii="仿宋" w:hAnsi="仿宋" w:eastAsia="黑体"/>
      <w:bCs/>
      <w:kern w:val="44"/>
      <w:sz w:val="28"/>
      <w:szCs w:val="44"/>
    </w:rPr>
  </w:style>
  <w:style w:type="character" w:customStyle="1" w:styleId="31">
    <w:name w:val="页眉 Char"/>
    <w:basedOn w:val="25"/>
    <w:link w:val="14"/>
    <w:qFormat/>
    <w:uiPriority w:val="99"/>
    <w:rPr>
      <w:sz w:val="18"/>
      <w:szCs w:val="18"/>
    </w:rPr>
  </w:style>
  <w:style w:type="character" w:customStyle="1" w:styleId="32">
    <w:name w:val="页脚 Char"/>
    <w:basedOn w:val="25"/>
    <w:link w:val="13"/>
    <w:qFormat/>
    <w:uiPriority w:val="99"/>
    <w:rPr>
      <w:sz w:val="18"/>
      <w:szCs w:val="18"/>
    </w:rPr>
  </w:style>
  <w:style w:type="character" w:customStyle="1" w:styleId="33">
    <w:name w:val="标题 2 Char"/>
    <w:basedOn w:val="25"/>
    <w:link w:val="4"/>
    <w:qFormat/>
    <w:uiPriority w:val="9"/>
    <w:rPr>
      <w:rFonts w:ascii="楷体_GB2312" w:hAnsi="楷体_GB2312" w:eastAsia="楷体_GB2312" w:cs="楷体"/>
      <w:b/>
      <w:bCs/>
      <w:sz w:val="28"/>
      <w:szCs w:val="32"/>
    </w:rPr>
  </w:style>
  <w:style w:type="character" w:customStyle="1" w:styleId="34">
    <w:name w:val="标题 Char"/>
    <w:basedOn w:val="25"/>
    <w:link w:val="21"/>
    <w:qFormat/>
    <w:uiPriority w:val="10"/>
    <w:rPr>
      <w:rFonts w:eastAsia="仿宋" w:asciiTheme="majorHAnsi" w:hAnsiTheme="majorHAnsi" w:cstheme="majorBidi"/>
      <w:b/>
      <w:bCs/>
      <w:sz w:val="28"/>
      <w:szCs w:val="32"/>
    </w:rPr>
  </w:style>
  <w:style w:type="character" w:customStyle="1" w:styleId="35">
    <w:name w:val="副标题 Char"/>
    <w:basedOn w:val="25"/>
    <w:link w:val="16"/>
    <w:qFormat/>
    <w:uiPriority w:val="11"/>
    <w:rPr>
      <w:rFonts w:ascii="黑体" w:hAnsi="黑体" w:eastAsia="黑体" w:cstheme="majorBidi"/>
      <w:bCs/>
      <w:kern w:val="28"/>
      <w:szCs w:val="32"/>
    </w:rPr>
  </w:style>
  <w:style w:type="character" w:customStyle="1" w:styleId="36">
    <w:name w:val="批注文字 Char"/>
    <w:basedOn w:val="25"/>
    <w:link w:val="7"/>
    <w:qFormat/>
    <w:uiPriority w:val="0"/>
    <w:rPr>
      <w:rFonts w:ascii="仿宋" w:hAnsi="Times New Roman" w:eastAsia="仿宋" w:cs="Arial"/>
      <w:sz w:val="32"/>
    </w:rPr>
  </w:style>
  <w:style w:type="character" w:customStyle="1" w:styleId="37">
    <w:name w:val="批注框文本 Char"/>
    <w:basedOn w:val="25"/>
    <w:link w:val="12"/>
    <w:semiHidden/>
    <w:qFormat/>
    <w:uiPriority w:val="99"/>
    <w:rPr>
      <w:rFonts w:ascii="仿宋" w:hAnsi="仿宋" w:eastAsia="仿宋"/>
      <w:sz w:val="18"/>
      <w:szCs w:val="18"/>
    </w:rPr>
  </w:style>
  <w:style w:type="character" w:customStyle="1" w:styleId="38">
    <w:name w:val="标题 3 Char"/>
    <w:basedOn w:val="25"/>
    <w:link w:val="5"/>
    <w:qFormat/>
    <w:uiPriority w:val="9"/>
    <w:rPr>
      <w:rFonts w:ascii="仿宋" w:hAnsi="仿宋" w:eastAsia="仿宋"/>
      <w:b/>
      <w:bCs/>
      <w:sz w:val="28"/>
      <w:szCs w:val="32"/>
    </w:rPr>
  </w:style>
  <w:style w:type="character" w:customStyle="1" w:styleId="39">
    <w:name w:val="脚注文本 Char"/>
    <w:basedOn w:val="25"/>
    <w:link w:val="17"/>
    <w:qFormat/>
    <w:uiPriority w:val="0"/>
    <w:rPr>
      <w:rFonts w:ascii="仿宋" w:hAnsi="Times New Roman" w:eastAsia="仿宋" w:cs="Times New Roman"/>
      <w:spacing w:val="6"/>
      <w:sz w:val="18"/>
      <w:szCs w:val="18"/>
    </w:rPr>
  </w:style>
  <w:style w:type="paragraph" w:styleId="40">
    <w:name w:val="No Spacing"/>
    <w:qFormat/>
    <w:uiPriority w:val="0"/>
    <w:pPr>
      <w:widowControl w:val="0"/>
      <w:adjustRightInd w:val="0"/>
      <w:snapToGrid w:val="0"/>
      <w:spacing w:line="560" w:lineRule="exact"/>
      <w:jc w:val="center"/>
    </w:pPr>
    <w:rPr>
      <w:rFonts w:ascii="黑体" w:hAnsi="Times New Roman" w:eastAsia="黑体" w:cs="Arial"/>
      <w:kern w:val="2"/>
      <w:sz w:val="21"/>
      <w:szCs w:val="22"/>
      <w:lang w:val="en-US" w:eastAsia="zh-CN" w:bidi="ar-SA"/>
    </w:rPr>
  </w:style>
  <w:style w:type="table" w:customStyle="1" w:styleId="41">
    <w:name w:val="网格型131"/>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2">
    <w:name w:val="font41"/>
    <w:basedOn w:val="25"/>
    <w:qFormat/>
    <w:uiPriority w:val="0"/>
    <w:rPr>
      <w:rFonts w:ascii="仿宋_GB2312" w:eastAsia="仿宋_GB2312" w:cs="仿宋_GB2312"/>
      <w:color w:val="000000"/>
      <w:sz w:val="24"/>
      <w:szCs w:val="24"/>
      <w:u w:val="none"/>
    </w:rPr>
  </w:style>
  <w:style w:type="character" w:customStyle="1" w:styleId="43">
    <w:name w:val="报告正文 Char"/>
    <w:link w:val="44"/>
    <w:qFormat/>
    <w:uiPriority w:val="0"/>
  </w:style>
  <w:style w:type="paragraph" w:customStyle="1" w:styleId="44">
    <w:name w:val="报告正文"/>
    <w:basedOn w:val="1"/>
    <w:next w:val="9"/>
    <w:link w:val="43"/>
    <w:qFormat/>
    <w:uiPriority w:val="0"/>
    <w:pPr>
      <w:ind w:firstLine="643"/>
    </w:pPr>
  </w:style>
  <w:style w:type="paragraph" w:customStyle="1" w:styleId="45">
    <w:name w:val="WPSOffice手动目录 1"/>
    <w:qFormat/>
    <w:uiPriority w:val="0"/>
    <w:rPr>
      <w:rFonts w:ascii="Times New Roman" w:hAnsi="Times New Roman" w:eastAsia="宋体" w:cs="Times New Roman"/>
      <w:lang w:val="en-US" w:eastAsia="zh-CN" w:bidi="ar-SA"/>
    </w:rPr>
  </w:style>
  <w:style w:type="table" w:customStyle="1" w:styleId="46">
    <w:name w:val="网格型11"/>
    <w:basedOn w:val="23"/>
    <w:qFormat/>
    <w:uiPriority w:val="39"/>
    <w:rPr>
      <w:rFonts w:ascii="等线" w:hAnsi="等线" w:eastAsia="等线"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7">
    <w:name w:val="网格型5"/>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
    <w:name w:val="网格型8"/>
    <w:basedOn w:val="23"/>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9">
    <w:name w:val="WPSOffice手动目录 2"/>
    <w:qFormat/>
    <w:uiPriority w:val="0"/>
    <w:pPr>
      <w:ind w:leftChars="200"/>
    </w:pPr>
    <w:rPr>
      <w:rFonts w:asciiTheme="minorHAnsi" w:hAnsiTheme="minorHAnsi" w:eastAsiaTheme="minorEastAsia" w:cstheme="minorBidi"/>
      <w:sz w:val="20"/>
      <w:szCs w:val="20"/>
    </w:rPr>
  </w:style>
  <w:style w:type="character" w:customStyle="1" w:styleId="50">
    <w:name w:val="标题 4 Char"/>
    <w:link w:val="6"/>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2AAA1E-D02F-4C34-B77D-0193089537CB}">
  <ds:schemaRefs/>
</ds:datastoreItem>
</file>

<file path=docProps/app.xml><?xml version="1.0" encoding="utf-8"?>
<Properties xmlns="http://schemas.openxmlformats.org/officeDocument/2006/extended-properties" xmlns:vt="http://schemas.openxmlformats.org/officeDocument/2006/docPropsVTypes">
  <Template>Normal</Template>
  <Pages>83</Pages>
  <Words>40091</Words>
  <Characters>43254</Characters>
  <Lines>39</Lines>
  <Paragraphs>11</Paragraphs>
  <TotalTime>0</TotalTime>
  <ScaleCrop>false</ScaleCrop>
  <LinksUpToDate>false</LinksUpToDate>
  <CharactersWithSpaces>43636</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2022-08-10T07:51:00Z</dcterms:created>
  <dc:creator>王雅慧</dc:creator>
  <cp:lastModifiedBy>Administrator</cp:lastModifiedBy>
  <dcterms:modified xsi:type="dcterms:W3CDTF">2023-03-27T02:54:21Z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F9D0CD64E9F348C48AC298084F521DF6</vt:lpwstr>
  </property>
</Properties>
</file>