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宋体"/>
          <w:kern w:val="0"/>
          <w:sz w:val="36"/>
          <w:szCs w:val="36"/>
        </w:rPr>
        <w:t>绥阳县2021年地方教育附加收入安排支出项目</w:t>
      </w:r>
    </w:p>
    <w:p>
      <w:pPr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hint="eastAsia"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spacing w:line="360" w:lineRule="auto"/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spacing w:line="400" w:lineRule="exact"/>
        <w:ind w:firstLine="2040" w:firstLineChars="850"/>
        <w:jc w:val="left"/>
        <w:rPr>
          <w:rFonts w:ascii="黑体" w:hAnsi="黑体" w:eastAsia="黑体" w:cs="宋体"/>
          <w:color w:val="000000" w:themeColor="text1"/>
          <w:kern w:val="0"/>
          <w:sz w:val="24"/>
          <w:szCs w:val="24"/>
        </w:rPr>
      </w:pPr>
    </w:p>
    <w:p>
      <w:pPr>
        <w:spacing w:line="400" w:lineRule="exact"/>
        <w:ind w:firstLine="2040" w:firstLineChars="850"/>
        <w:jc w:val="left"/>
        <w:rPr>
          <w:rFonts w:ascii="黑体" w:hAnsi="黑体" w:eastAsia="黑体" w:cs="宋体"/>
          <w:color w:val="000000" w:themeColor="text1"/>
          <w:kern w:val="0"/>
          <w:sz w:val="24"/>
          <w:szCs w:val="24"/>
        </w:rPr>
      </w:pPr>
    </w:p>
    <w:p>
      <w:pPr>
        <w:spacing w:line="400" w:lineRule="exact"/>
        <w:ind w:firstLine="2040" w:firstLineChars="850"/>
        <w:jc w:val="left"/>
        <w:rPr>
          <w:rFonts w:ascii="黑体" w:hAnsi="黑体" w:eastAsia="黑体" w:cs="宋体"/>
          <w:color w:val="000000" w:themeColor="text1"/>
          <w:kern w:val="0"/>
          <w:sz w:val="24"/>
          <w:szCs w:val="24"/>
        </w:rPr>
      </w:pPr>
    </w:p>
    <w:p>
      <w:pPr>
        <w:spacing w:line="400" w:lineRule="exact"/>
        <w:ind w:firstLine="2040" w:firstLineChars="850"/>
        <w:jc w:val="left"/>
        <w:rPr>
          <w:rFonts w:ascii="黑体" w:hAnsi="黑体" w:eastAsia="黑体" w:cs="宋体"/>
          <w:color w:val="000000" w:themeColor="text1"/>
          <w:kern w:val="0"/>
          <w:sz w:val="24"/>
          <w:szCs w:val="24"/>
        </w:rPr>
      </w:pPr>
    </w:p>
    <w:p>
      <w:pPr>
        <w:spacing w:line="400" w:lineRule="exact"/>
        <w:ind w:firstLine="2040" w:firstLineChars="850"/>
        <w:jc w:val="left"/>
        <w:rPr>
          <w:rFonts w:ascii="黑体" w:hAnsi="黑体" w:eastAsia="黑体" w:cs="宋体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</w:rPr>
        <w:t>报告编号：信府JXPJ-2022-11</w:t>
      </w:r>
    </w:p>
    <w:p>
      <w:pPr>
        <w:spacing w:line="400" w:lineRule="exact"/>
        <w:ind w:firstLine="2040" w:firstLineChars="850"/>
        <w:jc w:val="left"/>
        <w:rPr>
          <w:rFonts w:ascii="黑体" w:hAnsi="黑体" w:eastAsia="黑体" w:cs="宋体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</w:rPr>
        <w:t>委托单位：绥阳县财政局</w:t>
      </w:r>
    </w:p>
    <w:p>
      <w:pPr>
        <w:spacing w:line="400" w:lineRule="exact"/>
        <w:ind w:firstLine="2040" w:firstLineChars="850"/>
        <w:jc w:val="left"/>
        <w:rPr>
          <w:rFonts w:ascii="黑体" w:hAnsi="黑体" w:eastAsia="黑体" w:cs="宋体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</w:rPr>
        <w:t>评价机构：贵州信府绩效管理咨询有限公司</w:t>
      </w:r>
    </w:p>
    <w:p>
      <w:pPr>
        <w:spacing w:line="400" w:lineRule="exact"/>
        <w:ind w:firstLine="2040" w:firstLineChars="850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</w:rPr>
        <w:t>报告时间：2022年11月30日</w:t>
      </w:r>
    </w:p>
    <w:p>
      <w:pPr>
        <w:spacing w:line="400" w:lineRule="exact"/>
        <w:ind w:firstLine="2040" w:firstLineChars="850"/>
        <w:jc w:val="left"/>
        <w:rPr>
          <w:rFonts w:ascii="黑体" w:hAnsi="黑体" w:eastAsia="黑体" w:cs="宋体"/>
          <w:kern w:val="0"/>
          <w:sz w:val="24"/>
          <w:szCs w:val="24"/>
        </w:rPr>
        <w:sectPr>
          <w:footerReference r:id="rId3" w:type="default"/>
          <w:pgSz w:w="11906" w:h="16838"/>
          <w:pgMar w:top="1984" w:right="1474" w:bottom="1871" w:left="1474" w:header="850" w:footer="1474" w:gutter="0"/>
          <w:cols w:space="720" w:num="1"/>
          <w:docGrid w:linePitch="312" w:charSpace="0"/>
        </w:sectPr>
      </w:pPr>
    </w:p>
    <w:tbl>
      <w:tblPr>
        <w:tblStyle w:val="9"/>
        <w:tblW w:w="97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5"/>
        <w:gridCol w:w="1317"/>
        <w:gridCol w:w="1747"/>
        <w:gridCol w:w="293"/>
        <w:gridCol w:w="2006"/>
        <w:gridCol w:w="170"/>
        <w:gridCol w:w="1224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" w:hRule="atLeast"/>
          <w:jc w:val="center"/>
        </w:trPr>
        <w:tc>
          <w:tcPr>
            <w:tcW w:w="970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10" w:lineRule="exact"/>
              <w:jc w:val="left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4"/>
                <w:szCs w:val="24"/>
              </w:rPr>
              <w:t>评价分值：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>80.68分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4"/>
                <w:szCs w:val="24"/>
              </w:rPr>
              <w:t>评价等级：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>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970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pacing w:val="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</w:rPr>
              <w:t>概要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706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310" w:lineRule="exact"/>
              <w:jc w:val="left"/>
              <w:textAlignment w:val="center"/>
              <w:rPr>
                <w:rFonts w:ascii="黑体" w:hAnsi="黑体" w:eastAsia="黑体" w:cs="仿宋_GB2312"/>
                <w:color w:val="000000"/>
                <w:spacing w:val="6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6"/>
                <w:kern w:val="0"/>
                <w:sz w:val="24"/>
                <w:szCs w:val="24"/>
              </w:rPr>
              <w:t>评价机构全称（盖章）：贵州信府绩效管理咨询有限公司        单位：万元、个、份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项目名称</w:t>
            </w:r>
          </w:p>
        </w:tc>
        <w:tc>
          <w:tcPr>
            <w:tcW w:w="5363" w:type="dxa"/>
            <w:gridSpan w:val="4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  <w:t>绥阳县2021年地方教育附加收入安排支出项目</w:t>
            </w:r>
          </w:p>
        </w:tc>
        <w:tc>
          <w:tcPr>
            <w:tcW w:w="1394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评价年度</w:t>
            </w:r>
          </w:p>
        </w:tc>
        <w:tc>
          <w:tcPr>
            <w:tcW w:w="1574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2021年度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财政主管股室</w:t>
            </w:r>
          </w:p>
        </w:tc>
        <w:tc>
          <w:tcPr>
            <w:tcW w:w="3064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遵义市</w:t>
            </w:r>
            <w:r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  <w:t>绥阳县财政局</w:t>
            </w:r>
          </w:p>
        </w:tc>
        <w:tc>
          <w:tcPr>
            <w:tcW w:w="2299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联系人及联系方式</w:t>
            </w:r>
          </w:p>
        </w:tc>
        <w:tc>
          <w:tcPr>
            <w:tcW w:w="2968" w:type="dxa"/>
            <w:gridSpan w:val="3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  <w:t>杨开良 13885289268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主管部门</w:t>
            </w:r>
          </w:p>
        </w:tc>
        <w:tc>
          <w:tcPr>
            <w:tcW w:w="3064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遵义市</w:t>
            </w:r>
            <w:r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  <w:t>绥阳县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教育局</w:t>
            </w:r>
          </w:p>
        </w:tc>
        <w:tc>
          <w:tcPr>
            <w:tcW w:w="2299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联系人及联系方式</w:t>
            </w:r>
          </w:p>
        </w:tc>
        <w:tc>
          <w:tcPr>
            <w:tcW w:w="2968" w:type="dxa"/>
            <w:gridSpan w:val="3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吴世林18985615408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自评方式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无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自评分值</w:t>
            </w:r>
          </w:p>
        </w:tc>
        <w:tc>
          <w:tcPr>
            <w:tcW w:w="2299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无</w:t>
            </w:r>
          </w:p>
        </w:tc>
        <w:tc>
          <w:tcPr>
            <w:tcW w:w="1394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自评等级</w:t>
            </w:r>
          </w:p>
        </w:tc>
        <w:tc>
          <w:tcPr>
            <w:tcW w:w="1574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县级财政资金投入总数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235.30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财政资金到位数</w:t>
            </w:r>
          </w:p>
        </w:tc>
        <w:tc>
          <w:tcPr>
            <w:tcW w:w="229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235.30</w:t>
            </w:r>
          </w:p>
        </w:tc>
        <w:tc>
          <w:tcPr>
            <w:tcW w:w="1394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财政资金拨付数</w:t>
            </w:r>
          </w:p>
        </w:tc>
        <w:tc>
          <w:tcPr>
            <w:tcW w:w="157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235.30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1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抽查资金数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  <w:highlight w:val="yellow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211.45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资金抽查占比</w:t>
            </w:r>
          </w:p>
        </w:tc>
        <w:tc>
          <w:tcPr>
            <w:tcW w:w="2299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89.86%</w:t>
            </w:r>
          </w:p>
        </w:tc>
        <w:tc>
          <w:tcPr>
            <w:tcW w:w="1394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项目类别</w:t>
            </w:r>
          </w:p>
        </w:tc>
        <w:tc>
          <w:tcPr>
            <w:tcW w:w="1574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“工程类”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1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项目数量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4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抽查项目数</w:t>
            </w:r>
          </w:p>
        </w:tc>
        <w:tc>
          <w:tcPr>
            <w:tcW w:w="2299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2</w:t>
            </w:r>
          </w:p>
        </w:tc>
        <w:tc>
          <w:tcPr>
            <w:tcW w:w="1394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项目抽查占比</w:t>
            </w:r>
          </w:p>
        </w:tc>
        <w:tc>
          <w:tcPr>
            <w:tcW w:w="1574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50.00%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发放调查问卷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kern w:val="0"/>
                <w:sz w:val="20"/>
              </w:rPr>
              <w:t>601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黑体" w:eastAsia="黑体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有效调查问卷</w:t>
            </w:r>
          </w:p>
        </w:tc>
        <w:tc>
          <w:tcPr>
            <w:tcW w:w="2299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kern w:val="0"/>
                <w:sz w:val="20"/>
              </w:rPr>
              <w:t>601</w:t>
            </w:r>
          </w:p>
        </w:tc>
        <w:tc>
          <w:tcPr>
            <w:tcW w:w="1394" w:type="dxa"/>
            <w:gridSpan w:val="2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黑体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满意度情况</w:t>
            </w:r>
          </w:p>
        </w:tc>
        <w:tc>
          <w:tcPr>
            <w:tcW w:w="1574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教师83.91%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学生84.28%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9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绩效目标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实现情况</w:t>
            </w:r>
          </w:p>
        </w:tc>
        <w:tc>
          <w:tcPr>
            <w:tcW w:w="8331" w:type="dxa"/>
            <w:gridSpan w:val="7"/>
            <w:noWrap/>
            <w:vAlign w:val="center"/>
          </w:tcPr>
          <w:p>
            <w:pPr>
              <w:widowControl/>
              <w:spacing w:line="370" w:lineRule="exact"/>
              <w:ind w:firstLine="426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</w:rPr>
              <w:t>一、2021年总体目标及实现情况</w:t>
            </w:r>
          </w:p>
          <w:p>
            <w:pPr>
              <w:widowControl/>
              <w:spacing w:line="370" w:lineRule="exact"/>
              <w:ind w:firstLine="400" w:firstLineChars="2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</w:rPr>
              <w:t>目标1：解决教育工程项目经费空缺问题；完成；</w:t>
            </w:r>
          </w:p>
          <w:p>
            <w:pPr>
              <w:widowControl/>
              <w:spacing w:line="370" w:lineRule="exact"/>
              <w:ind w:firstLine="400" w:firstLineChars="2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</w:rPr>
              <w:t>目标2：完成标准化考场安检设施设备购置；完成；</w:t>
            </w:r>
          </w:p>
          <w:p>
            <w:pPr>
              <w:widowControl/>
              <w:spacing w:line="370" w:lineRule="exact"/>
              <w:ind w:firstLine="400" w:firstLineChars="2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</w:rPr>
              <w:t>目标3：完成校园足球三级联赛及青少年足球锦标赛；未完成；</w:t>
            </w:r>
          </w:p>
          <w:p>
            <w:pPr>
              <w:widowControl/>
              <w:spacing w:line="370" w:lineRule="exact"/>
              <w:ind w:firstLine="400" w:firstLineChars="2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</w:rPr>
              <w:t>目标4：大力促进教体结合，推动教育特色多元化发展；效果较理想。</w:t>
            </w:r>
          </w:p>
          <w:p>
            <w:pPr>
              <w:widowControl/>
              <w:spacing w:line="370" w:lineRule="exact"/>
              <w:ind w:firstLine="426" w:firstLineChars="20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</w:rPr>
              <w:t>二、产出目标、效益目标及实现情况</w:t>
            </w:r>
          </w:p>
          <w:p>
            <w:pPr>
              <w:widowControl/>
              <w:spacing w:line="370" w:lineRule="exact"/>
              <w:ind w:firstLine="424" w:firstLineChars="20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（一）产出目标及实现情况</w:t>
            </w:r>
          </w:p>
          <w:p>
            <w:pPr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1.产出数量</w:t>
            </w:r>
          </w:p>
          <w:p>
            <w:pPr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计划完成率。部分完成；校园足球三级联赛及青少年足球锦标赛未举办。</w:t>
            </w:r>
          </w:p>
          <w:p>
            <w:pPr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2.产出质量</w:t>
            </w:r>
          </w:p>
          <w:p>
            <w:pPr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验收合格率。完成；城关中学和城南小学综合楼建设已于2019年1月通过验收并投入使用。绥阳中学标准化考场安检设施设备已购置，正常使用。</w:t>
            </w:r>
          </w:p>
          <w:p>
            <w:pPr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3.产出时效</w:t>
            </w:r>
          </w:p>
          <w:p>
            <w:pPr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完成及时性。完成；城关中学和城南小学综合楼建设按时完工，绥阳中学标准化考场安检设施设备已购置，正常使用。</w:t>
            </w:r>
          </w:p>
          <w:p>
            <w:pPr>
              <w:widowControl/>
              <w:spacing w:line="370" w:lineRule="exact"/>
              <w:ind w:firstLine="424" w:firstLineChars="20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（二）效益目标及实现情况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1.社会效益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（1）改善办学条件。一定程度改善。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（2）推进校园足球发展。有一定的效果，但足球联赛未及时举办。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（3）严肃考试纪律。对严肃考试纪律有一定效果。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2.满意度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</w:rPr>
              <w:t>据收回的601份调查问卷，其中学生228份，教师373份，教师满意度为83.91%，学生满意度为84.28%。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6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评价问题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简要情况</w:t>
            </w:r>
          </w:p>
        </w:tc>
        <w:tc>
          <w:tcPr>
            <w:tcW w:w="8331" w:type="dxa"/>
            <w:gridSpan w:val="7"/>
            <w:noWrap/>
            <w:vAlign w:val="center"/>
          </w:tcPr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（一）资金管理方面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个别项目资金使用率低。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（二）项目管理方面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1.业务制度不健全；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2.业务监督检查不到位；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3.档案资料不够完整。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（三）绩效管理方面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1.未编制项目绩效目标；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2.未开展绩效自评工作。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3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评价问题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</w:rPr>
              <w:t>简要建议</w:t>
            </w:r>
          </w:p>
        </w:tc>
        <w:tc>
          <w:tcPr>
            <w:tcW w:w="8331" w:type="dxa"/>
            <w:gridSpan w:val="7"/>
            <w:noWrap/>
            <w:vAlign w:val="center"/>
          </w:tcPr>
          <w:p>
            <w:pPr>
              <w:widowControl/>
              <w:spacing w:line="370" w:lineRule="exact"/>
              <w:ind w:firstLine="424" w:firstLineChars="200"/>
              <w:rPr>
                <w:rFonts w:ascii="仿宋_GB2312" w:hAnsi="华文仿宋" w:eastAsia="仿宋_GB2312" w:cs="宋体"/>
                <w:bCs/>
                <w:spacing w:val="6"/>
                <w:sz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</w:rPr>
              <w:t>（一）资金管理方面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华文仿宋" w:eastAsia="仿宋_GB2312" w:cs="宋体"/>
                <w:bCs/>
                <w:spacing w:val="6"/>
                <w:sz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</w:rPr>
              <w:t>建议相关部门（单位）严格按照上级资金下达文件、资金管理办法等相关规定，加强预算指标下达及调整、用款计划审批、资金拨付使用等工作，确保项目资金使用效益及其绩效目标实现。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华文仿宋" w:eastAsia="仿宋_GB2312" w:cs="宋体"/>
                <w:bCs/>
                <w:spacing w:val="6"/>
                <w:sz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</w:rPr>
              <w:t>（二）项目管理方面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华文仿宋" w:eastAsia="仿宋_GB2312" w:cs="宋体"/>
                <w:bCs/>
                <w:spacing w:val="6"/>
                <w:sz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</w:rPr>
              <w:t>1.相关单位（部门）应建立健全各项规章管理制度，保证工作的规范性。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华文仿宋" w:eastAsia="仿宋_GB2312" w:cs="宋体"/>
                <w:bCs/>
                <w:spacing w:val="6"/>
                <w:sz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</w:rPr>
              <w:t>2.建议相关单位加强业务监督检查，确保项目绩效目标实现。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华文仿宋" w:eastAsia="仿宋_GB2312" w:cs="宋体"/>
                <w:bCs/>
                <w:spacing w:val="6"/>
                <w:sz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</w:rPr>
              <w:t>3.建议相关单位或部门，按相关规定，对项目资料、工作档案及时整理、归档，确保档案资料真实性、完整性。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华文仿宋" w:eastAsia="仿宋_GB2312" w:cs="宋体"/>
                <w:bCs/>
                <w:spacing w:val="6"/>
                <w:sz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</w:rPr>
              <w:t>（三）绩效管理方面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华文仿宋" w:eastAsia="仿宋_GB2312" w:cs="宋体"/>
                <w:bCs/>
                <w:spacing w:val="6"/>
                <w:sz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</w:rPr>
              <w:t>1.建议相关单位或部门，按照相关文件规定，加强绩效目标管理工作，编制合理、明确的绩效目标，优化财政资金配置效益。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</w:rPr>
              <w:t>2.建议相关单位或部门，开展绩效自评工作，有必要时，聘请第三方专业评价机构，或邀请绩效管理专家、行业专家参与绩效自评工作，强调评价结果应用，提高预算绩效管理水平。。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  <w:jc w:val="center"/>
        </w:trPr>
        <w:tc>
          <w:tcPr>
            <w:tcW w:w="1375" w:type="dxa"/>
            <w:noWrap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sz w:val="20"/>
              </w:rPr>
              <w:t>评价结果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sz w:val="20"/>
              </w:rPr>
              <w:t>应用建议</w:t>
            </w:r>
          </w:p>
        </w:tc>
        <w:tc>
          <w:tcPr>
            <w:tcW w:w="8331" w:type="dxa"/>
            <w:gridSpan w:val="7"/>
            <w:noWrap/>
            <w:vAlign w:val="center"/>
          </w:tcPr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（一）对发现的问题及时进行整改；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（二）将评价结果在一定范围内公开，切实提高评价结果的严肃性和约束力；</w:t>
            </w:r>
          </w:p>
          <w:p>
            <w:pPr>
              <w:widowControl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</w:rPr>
              <w:t>（三）建议相关单位加强对项目立项充分性的事前评估工作，确保资金使用合规性和效益性。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7" w:hRule="atLeast"/>
          <w:jc w:val="center"/>
        </w:trPr>
        <w:tc>
          <w:tcPr>
            <w:tcW w:w="2692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color w:val="000000"/>
                <w:spacing w:val="6"/>
                <w:sz w:val="20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6"/>
                <w:sz w:val="20"/>
              </w:rPr>
              <w:t>评价时间</w:t>
            </w:r>
          </w:p>
        </w:tc>
        <w:tc>
          <w:tcPr>
            <w:tcW w:w="2040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</w:rPr>
              <w:t>2022年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</w:rPr>
              <w:t>月2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</w:rPr>
              <w:t>日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</w:rPr>
              <w:t>-2022年11月30日</w:t>
            </w:r>
          </w:p>
        </w:tc>
        <w:tc>
          <w:tcPr>
            <w:tcW w:w="2176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sz w:val="22"/>
                <w:szCs w:val="22"/>
              </w:rPr>
              <w:t>评价机构报告编号</w:t>
            </w:r>
          </w:p>
        </w:tc>
        <w:tc>
          <w:tcPr>
            <w:tcW w:w="2798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color w:val="000000"/>
                <w:spacing w:val="6"/>
                <w:sz w:val="20"/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</w:rPr>
              <w:t>信府JXPJ-2022-11</w:t>
            </w:r>
          </w:p>
        </w:tc>
      </w:tr>
    </w:tbl>
    <w:p>
      <w:pPr>
        <w:spacing w:line="360" w:lineRule="auto"/>
        <w:rPr>
          <w:rFonts w:ascii="仿宋_GB2312" w:hAnsi="黑体" w:eastAsia="仿宋_GB2312"/>
          <w:spacing w:val="6"/>
          <w:sz w:val="32"/>
          <w:szCs w:val="32"/>
        </w:rPr>
        <w:sectPr>
          <w:footerReference r:id="rId4" w:type="default"/>
          <w:footerReference r:id="rId5" w:type="even"/>
          <w:type w:val="oddPage"/>
          <w:pgSz w:w="11906" w:h="16838"/>
          <w:pgMar w:top="1701" w:right="1361" w:bottom="1701" w:left="1361" w:header="850" w:footer="1474" w:gutter="0"/>
          <w:pgNumType w:start="1"/>
          <w:cols w:space="0" w:num="1"/>
          <w:docGrid w:linePitch="312" w:charSpace="0"/>
        </w:sectPr>
      </w:pPr>
      <w:bookmarkStart w:id="0" w:name="_GoBack"/>
      <w:bookmarkEnd w:id="0"/>
    </w:p>
    <w:p>
      <w:pPr>
        <w:pStyle w:val="2"/>
        <w:jc w:val="both"/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1"/>
        <w:szCs w:val="21"/>
      </w:rPr>
    </w:pPr>
    <w:r>
      <w:rPr>
        <w:sz w:val="21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10" w:leftChars="100" w:right="210" w:rightChars="100"/>
      <w:jc w:val="center"/>
    </w:pPr>
    <w:r>
      <w:pict>
        <v:shape id="_x0000_s1032" o:spid="_x0000_s1032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10" w:leftChars="100" w:right="210" w:rightChars="100"/>
      <w:jc w:val="center"/>
      <w:rPr>
        <w:rFonts w:ascii="仿宋" w:hAnsi="仿宋" w:eastAsia="仿宋"/>
        <w:sz w:val="28"/>
        <w:szCs w:val="28"/>
      </w:rPr>
    </w:pPr>
    <w:r>
      <w:rPr>
        <w:sz w:val="28"/>
      </w:rPr>
      <w:pict>
        <v:shape id="_x0000_s1031" o:spid="_x0000_s1031" o:spt="202" type="#_x0000_t202" style="position:absolute;left:0pt;margin-top:-4.8pt;height:24.15pt;width:78.3pt;mso-position-horizontal:center;mso-position-horizontal-relative:margin;z-index:251659264;mso-width-relative:page;mso-height-relative:page;" filled="f" stroked="f" coordsize="21600,21600" o:gfxdata="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UO54FdYAAAAGAQAADwAAAAAAAAABACAAAAAiAAAAZHJzL2Rvd25yZXYu&#10;eG1sUEsBAhQAFAAAAAgAh07iQHy6xNbEAQAAewMAAA4AAAAAAAAAAQAgAAAAJQEAAGRycy9lMm9E&#10;b2MueG1sUEsFBgAAAAAGAAYAWQEAAFsFAAAAAA==&#10;">
          <v:path/>
          <v:fill on="f" focussize="0,0"/>
          <v:stroke on="f" weight="1.25pt" joinstyle="miter"/>
          <v:imagedata o:title=""/>
          <o:lock v:ext="edit"/>
          <v:textbox inset="0mm,0mm,0mm,0mm">
            <w:txbxContent>
              <w:p>
                <w:pPr>
                  <w:pStyle w:val="5"/>
                  <w:ind w:left="210" w:leftChars="100" w:right="210" w:rightChars="100"/>
                  <w:jc w:val="center"/>
                  <w:rPr>
                    <w:rFonts w:eastAsia="仿宋"/>
                  </w:rPr>
                </w:pP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>－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  <w:lang w:val="zh-CN"/>
                  </w:rPr>
                  <w:t>2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>－</w:t>
                </w:r>
              </w:p>
              <w:p/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10" w:leftChars="100" w:right="210" w:rightChars="100"/>
      <w:jc w:val="right"/>
    </w:pPr>
    <w: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E5NWE3YzkxZDRjMmMzMWZjNDNlNjJiZDc4NTMyNGQifQ=="/>
  </w:docVars>
  <w:rsids>
    <w:rsidRoot w:val="00895983"/>
    <w:rsid w:val="007239A2"/>
    <w:rsid w:val="008041C6"/>
    <w:rsid w:val="00895983"/>
    <w:rsid w:val="00AD4F61"/>
    <w:rsid w:val="00FE24AD"/>
    <w:rsid w:val="01DC66E7"/>
    <w:rsid w:val="0469198F"/>
    <w:rsid w:val="061055F3"/>
    <w:rsid w:val="06924E8F"/>
    <w:rsid w:val="0733404E"/>
    <w:rsid w:val="07922158"/>
    <w:rsid w:val="088A2CF2"/>
    <w:rsid w:val="09817A11"/>
    <w:rsid w:val="125E61C1"/>
    <w:rsid w:val="168C54D9"/>
    <w:rsid w:val="1746471A"/>
    <w:rsid w:val="17F451EC"/>
    <w:rsid w:val="182757CA"/>
    <w:rsid w:val="1A7074D6"/>
    <w:rsid w:val="1B88061D"/>
    <w:rsid w:val="1EA73849"/>
    <w:rsid w:val="206C1384"/>
    <w:rsid w:val="21A70742"/>
    <w:rsid w:val="231D1EC1"/>
    <w:rsid w:val="23331A9D"/>
    <w:rsid w:val="23712FA3"/>
    <w:rsid w:val="243F3E9B"/>
    <w:rsid w:val="245216C9"/>
    <w:rsid w:val="276D4AE9"/>
    <w:rsid w:val="28531034"/>
    <w:rsid w:val="2C1F79A0"/>
    <w:rsid w:val="2C7368E7"/>
    <w:rsid w:val="2E7A0542"/>
    <w:rsid w:val="306310BB"/>
    <w:rsid w:val="32270449"/>
    <w:rsid w:val="32E449D0"/>
    <w:rsid w:val="32E84EC0"/>
    <w:rsid w:val="331134A0"/>
    <w:rsid w:val="362F1B6F"/>
    <w:rsid w:val="37313B18"/>
    <w:rsid w:val="39D975E1"/>
    <w:rsid w:val="3A27051A"/>
    <w:rsid w:val="3A582C98"/>
    <w:rsid w:val="3B20012B"/>
    <w:rsid w:val="3C4463D2"/>
    <w:rsid w:val="3E8D0407"/>
    <w:rsid w:val="416B6379"/>
    <w:rsid w:val="445157F9"/>
    <w:rsid w:val="446A0C2B"/>
    <w:rsid w:val="45375E5B"/>
    <w:rsid w:val="4600713C"/>
    <w:rsid w:val="463D7C0D"/>
    <w:rsid w:val="47684C8C"/>
    <w:rsid w:val="48FB0717"/>
    <w:rsid w:val="4E593C28"/>
    <w:rsid w:val="4F0B0CDD"/>
    <w:rsid w:val="50585DB8"/>
    <w:rsid w:val="507A2A81"/>
    <w:rsid w:val="509D1762"/>
    <w:rsid w:val="53B06098"/>
    <w:rsid w:val="56646C56"/>
    <w:rsid w:val="59A47761"/>
    <w:rsid w:val="5D727FC7"/>
    <w:rsid w:val="5E13627E"/>
    <w:rsid w:val="5FE17AD8"/>
    <w:rsid w:val="61223739"/>
    <w:rsid w:val="62B72874"/>
    <w:rsid w:val="65A11CE5"/>
    <w:rsid w:val="66E87B94"/>
    <w:rsid w:val="68171831"/>
    <w:rsid w:val="692F4436"/>
    <w:rsid w:val="69620955"/>
    <w:rsid w:val="6B042C91"/>
    <w:rsid w:val="6C684FFC"/>
    <w:rsid w:val="722640C6"/>
    <w:rsid w:val="732E29D5"/>
    <w:rsid w:val="78174272"/>
    <w:rsid w:val="78315DBF"/>
    <w:rsid w:val="78C53AE4"/>
    <w:rsid w:val="79905EA0"/>
    <w:rsid w:val="7A535318"/>
    <w:rsid w:val="7B083DED"/>
    <w:rsid w:val="7B4172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unhideWhenUsed/>
    <w:qFormat/>
    <w:uiPriority w:val="39"/>
    <w:rPr>
      <w:szCs w:val="24"/>
    </w:rPr>
  </w:style>
  <w:style w:type="paragraph" w:styleId="8">
    <w:name w:val="toc 2"/>
    <w:basedOn w:val="1"/>
    <w:next w:val="1"/>
    <w:unhideWhenUsed/>
    <w:qFormat/>
    <w:uiPriority w:val="39"/>
    <w:pPr>
      <w:ind w:left="210"/>
      <w:jc w:val="left"/>
    </w:pPr>
    <w:rPr>
      <w:rFonts w:cs="Calibri"/>
      <w:smallCaps/>
      <w:sz w:val="20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font41"/>
    <w:qFormat/>
    <w:uiPriority w:val="0"/>
    <w:rPr>
      <w:rFonts w:hint="default" w:ascii="仿宋_GB2312" w:eastAsia="仿宋_GB2312" w:cs="仿宋_GB2312"/>
      <w:color w:val="000000"/>
      <w:sz w:val="32"/>
      <w:szCs w:val="32"/>
      <w:u w:val="none"/>
    </w:rPr>
  </w:style>
  <w:style w:type="paragraph" w:customStyle="1" w:styleId="13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/>
      <w:b w:val="0"/>
      <w:bCs w:val="0"/>
      <w:color w:val="366091"/>
      <w:kern w:val="0"/>
      <w:sz w:val="32"/>
      <w:szCs w:val="32"/>
    </w:rPr>
  </w:style>
  <w:style w:type="character" w:customStyle="1" w:styleId="14">
    <w:name w:val="font11"/>
    <w:basedOn w:val="11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font21"/>
    <w:basedOn w:val="11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32"/>
    <customShpInfo spid="_x0000_s103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Www.SangSan.Cn</Company>
  <Pages>42</Pages>
  <Words>3057</Words>
  <Characters>17427</Characters>
  <Lines>145</Lines>
  <Paragraphs>40</Paragraphs>
  <TotalTime>7</TotalTime>
  <ScaleCrop>false</ScaleCrop>
  <LinksUpToDate>false</LinksUpToDate>
  <CharactersWithSpaces>20444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2022-08-17T09:19:00Z</dcterms:created>
  <dc:creator>Administrator</dc:creator>
  <cp:lastModifiedBy>Administrator</cp:lastModifiedBy>
  <cp:lastPrinted>2022-12-26T08:59:00Z</cp:lastPrinted>
  <dcterms:modified xsi:type="dcterms:W3CDTF">2023-03-27T02:09:15Z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3298F8C349C74BE999D2046D50EC3FA6</vt:lpwstr>
  </property>
</Properties>
</file>