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  <w:t>绥阳县2021年农村地区营养改善计划项目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黑体" w:eastAsia="方正小标宋简体" w:cs="宋体"/>
          <w:kern w:val="0"/>
          <w:sz w:val="72"/>
          <w:szCs w:val="72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72"/>
          <w:szCs w:val="72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pStyle w:val="2"/>
        <w:rPr>
          <w:rFonts w:ascii="黑体" w:hAnsi="黑体" w:eastAsia="黑体"/>
          <w:sz w:val="56"/>
          <w:szCs w:val="56"/>
        </w:rPr>
      </w:pPr>
    </w:p>
    <w:p>
      <w:pPr>
        <w:pStyle w:val="2"/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2040" w:firstLineChars="850"/>
        <w:jc w:val="left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信府JXPJ-2022-8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委托单位：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绥阳县财政局</w:t>
      </w:r>
    </w:p>
    <w:p>
      <w:pPr>
        <w:spacing w:line="400" w:lineRule="exact"/>
        <w:ind w:firstLine="2040" w:firstLineChars="850"/>
        <w:jc w:val="left"/>
        <w:rPr>
          <w:rFonts w:hint="default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评价机构：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贵州信府绩效管理咨询有限公司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报告时间：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2022年11月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kern w:val="0"/>
          <w:sz w:val="24"/>
          <w:szCs w:val="24"/>
        </w:rPr>
        <w:sectPr>
          <w:footerReference r:id="rId3" w:type="default"/>
          <w:pgSz w:w="11906" w:h="16838"/>
          <w:pgMar w:top="1984" w:right="1474" w:bottom="1871" w:left="1474" w:header="850" w:footer="1474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12" w:charSpace="0"/>
        </w:sectPr>
      </w:pPr>
    </w:p>
    <w:tbl>
      <w:tblPr>
        <w:tblStyle w:val="9"/>
        <w:tblW w:w="9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6"/>
        <w:gridCol w:w="1115"/>
        <w:gridCol w:w="2356"/>
        <w:gridCol w:w="34"/>
        <w:gridCol w:w="2155"/>
        <w:gridCol w:w="21"/>
        <w:gridCol w:w="1306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  <w:jc w:val="center"/>
        </w:trPr>
        <w:tc>
          <w:tcPr>
            <w:tcW w:w="9825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评价分值：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  <w:lang w:eastAsia="zh-CN"/>
              </w:rPr>
              <w:t>87.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分</w:t>
            </w:r>
            <w:r>
              <w:rPr>
                <w:rStyle w:val="12"/>
                <w:rFonts w:hint="eastAsia" w:hAnsi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  <w:lang w:val="en-US" w:eastAsia="zh-CN"/>
              </w:rPr>
              <w:t>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9825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概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9825" w:type="dxa"/>
            <w:gridSpan w:val="8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ascii="黑体" w:hAnsi="黑体" w:eastAsia="黑体" w:cs="仿宋_GB2312"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</w:rPr>
              <w:t>评价机构全称（盖章）：</w:t>
            </w: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  <w:lang w:eastAsia="zh-CN"/>
              </w:rPr>
              <w:t>贵州信府绩效管理咨询有限公司</w:t>
            </w: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</w:rPr>
              <w:t xml:space="preserve">        单位：万元、个、份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660" w:type="dxa"/>
            <w:gridSpan w:val="4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绥阳县2021年农村地区营养改善计划项目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绩效评价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评价年度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财政主管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股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室</w:t>
            </w:r>
          </w:p>
        </w:tc>
        <w:tc>
          <w:tcPr>
            <w:tcW w:w="3471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遵义市</w:t>
            </w: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绥阳县财政局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819" w:type="dxa"/>
            <w:gridSpan w:val="3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杨开良 13885289268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471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遵义市</w:t>
            </w: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绥阳县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教育局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2819" w:type="dxa"/>
            <w:gridSpan w:val="3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吴世林18985615408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自评方式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项目自评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自评分值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自评等级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县级财政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资金投入总数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253.03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  <w:t>县级财政资金到位数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  <w:t>253.03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  <w:t>财政资金拨付数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253.03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  <w:t>抽查资金数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105.75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资金抽查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占比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41.79%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“补助类”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发放调查问卷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有效调查问卷</w:t>
            </w:r>
          </w:p>
        </w:tc>
        <w:tc>
          <w:tcPr>
            <w:tcW w:w="218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黑体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情况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84.76%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9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绩效目标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实现情况</w:t>
            </w:r>
          </w:p>
        </w:tc>
        <w:tc>
          <w:tcPr>
            <w:tcW w:w="8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6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  <w:lang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年总体目标及实现情况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目标1：对营养改善计划农村义务教育学校实施全覆盖；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目标2：为农村义务教育阶段学校的在校在籍学生提供营养改善；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目标3：农村义务教育学生和学前阶段幼儿身体素质得到提升；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目标4：农村义务教育学生和学前阶段幼儿学习生活条件得到改善。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6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二、产出目标、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（一）产出目标及实现情况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产出数量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计划完成率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，周一到周五营养餐有16套菜谱，具体由学校自行安排每天的菜谱，荤素搭配、粗细搭配，至少三菜一汤。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2.产出质量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食材质量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。提供的资料未发现食材不合格情况。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卫生环境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根据相关资料和调查问卷，食堂环境卫生需继续加强监督整改，餐具和食物卫生严格按照相关管理办法执行。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食物检测质量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。未提供食堂食品留样登记对应监测结果佐证资料，无法判断食物监测不合格情况。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产出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成本控制，绥阳庆祥餐饮管理有限公司、湖南亚广餐饮投资有限公司根据《绥阳县农村地区学生营养改善计划服务协议》，按标准采购，报账。未发现食材采购成本超过市场价情况。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（1）改善学习生活条件，对改善农村义务教育学生学习生活条件有一定的帮助，减少了学生就餐时间成本，增加了学生休息和学习时间。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（2）加快农村教育发展，对加快农村教育发展有较好的成效。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（3）保障学生营养健康，为农村学生膳食创造良好的条件，不断提高农村学生营养健康水平，促进学生的全面发展打下坚实基础。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2.满意度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受益群体满意度，收回发放的64份有效调查问卷，满意度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84.76%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8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简要情况</w:t>
            </w:r>
          </w:p>
        </w:tc>
        <w:tc>
          <w:tcPr>
            <w:tcW w:w="8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（一）资金管理方面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1.部分资金用途与资金管理办法规定不符；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2.财务监督检查不到位。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（二）项目管理方面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档案资料不够完整。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（三）绩效管理方面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1.绩效目标编制不够全面；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2.绩效管理水平有待提高。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0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简要建议</w:t>
            </w:r>
          </w:p>
        </w:tc>
        <w:tc>
          <w:tcPr>
            <w:tcW w:w="8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（一）资金管理方面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1.建议主管部门加强专项资金监督管理，严格按照相关专项资金管理办法及规定使用本项目资金。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2.加强财务监督检查，提高财政资金使用效益。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（二）项目管理方面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建议相关单位或部门，按相关规定，对项目资料、工作档案及时整理、归档，确保档案资料真实性、完整性。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（三）绩效管理方面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1.建议相关单位或部门，按相关文件规定，加强绩效目标管理工作，编制合理、明确的绩效目标，优化财政资金配置效益。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2.加强预算绩效管理培训，提高预算绩效管理水平。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  <w:szCs w:val="20"/>
              </w:rPr>
              <w:t>评价结果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  <w:szCs w:val="20"/>
              </w:rPr>
              <w:t>应用建议</w:t>
            </w:r>
          </w:p>
        </w:tc>
        <w:tc>
          <w:tcPr>
            <w:tcW w:w="84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（一）对发现的问题及时进行整改；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针对绩效评价中发现的问题，建议及时进行整改。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（二）将评价结果在一定范围内公开，切实提高评价结果的严肃性和约束力；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70" w:lineRule="exact"/>
              <w:ind w:firstLine="424" w:firstLineChars="200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（三）建议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相关单位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加强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对本项目的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监督管理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，确保资金使用合规性和效益性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24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sz w:val="20"/>
                <w:szCs w:val="20"/>
                <w:lang w:val="en-US" w:eastAsia="zh-CN"/>
              </w:rPr>
              <w:t>评价时间</w:t>
            </w: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月2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2022年11月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评价机构报告编号</w:t>
            </w:r>
          </w:p>
        </w:tc>
        <w:tc>
          <w:tcPr>
            <w:tcW w:w="27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黑体" w:eastAsia="黑体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信府JXPJ-2022-8</w:t>
            </w:r>
          </w:p>
        </w:tc>
      </w:tr>
    </w:tbl>
    <w:p>
      <w:pPr>
        <w:spacing w:line="360" w:lineRule="auto"/>
        <w:ind w:firstLine="664" w:firstLineChars="200"/>
        <w:rPr>
          <w:rFonts w:ascii="仿宋_GB2312" w:hAnsi="黑体" w:eastAsia="仿宋_GB2312"/>
          <w:spacing w:val="6"/>
          <w:sz w:val="32"/>
          <w:szCs w:val="32"/>
        </w:rPr>
        <w:sectPr>
          <w:footerReference r:id="rId4" w:type="default"/>
          <w:footerReference r:id="rId5" w:type="even"/>
          <w:type w:val="oddPage"/>
          <w:pgSz w:w="11906" w:h="16838"/>
          <w:pgMar w:top="1871" w:right="1474" w:bottom="1871" w:left="1474" w:header="850" w:footer="1474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linePitch="312" w:charSpace="0"/>
        </w:sectPr>
      </w:pPr>
      <w:bookmarkStart w:id="0" w:name="_GoBack"/>
      <w:bookmarkEnd w:id="0"/>
    </w:p>
    <w:p>
      <w:pPr>
        <w:ind w:left="0" w:leftChars="0" w:firstLine="0" w:firstLineChars="0"/>
        <w:jc w:val="both"/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VMiuIU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NUyK4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fkHQ0V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HfkHQ0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-60960</wp:posOffset>
              </wp:positionV>
              <wp:extent cx="994410" cy="306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4410" cy="3067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210" w:leftChars="100" w:right="210" w:rightChars="100"/>
                            <w:jc w:val="center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－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－</w:t>
                          </w:r>
                        </w:p>
                        <w:p/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.8pt;height:24.15pt;width:78.3pt;mso-position-horizontal:center;mso-position-horizontal-relative:margin;z-index:251659264;mso-width-relative:page;mso-height-relative:page;" filled="f" stroked="f" coordsize="21600,21600" o:gfxdata="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Q7ngV1gAAAAYBAAAP&#10;AAAAAAAAAAEAIAAAACIAAABkcnMvZG93bnJldi54bWxQSwECFAAUAAAACACHTuJAvsj7IqgBAAAt&#10;AwAADgAAAAAAAAABACAAAAAlAQAAZHJzL2Uyb0RvYy54bWxQSwUGAAAAAAYABgBZAQAAPw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ind w:left="210" w:leftChars="100" w:right="210" w:rightChars="100"/>
                      <w:jc w:val="center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－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－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/hNuoUAgAAFQ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v+E26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WE3YzkxZDRjMmMzMWZjNDNlNjJiZDc4NTMyNGQifQ=="/>
  </w:docVars>
  <w:rsids>
    <w:rsidRoot w:val="00000000"/>
    <w:rsid w:val="0371289F"/>
    <w:rsid w:val="04F2431A"/>
    <w:rsid w:val="06051935"/>
    <w:rsid w:val="08C97472"/>
    <w:rsid w:val="0BE72BD0"/>
    <w:rsid w:val="1144215C"/>
    <w:rsid w:val="115F2B08"/>
    <w:rsid w:val="15A97439"/>
    <w:rsid w:val="17F451EC"/>
    <w:rsid w:val="1B6D23E6"/>
    <w:rsid w:val="1B88061D"/>
    <w:rsid w:val="1F5A4CBF"/>
    <w:rsid w:val="243A4268"/>
    <w:rsid w:val="24950446"/>
    <w:rsid w:val="2B8A0A17"/>
    <w:rsid w:val="2B983BD1"/>
    <w:rsid w:val="2DA40164"/>
    <w:rsid w:val="2FB81E8E"/>
    <w:rsid w:val="306310BB"/>
    <w:rsid w:val="32E449D0"/>
    <w:rsid w:val="362F1B6F"/>
    <w:rsid w:val="36493858"/>
    <w:rsid w:val="38F51E74"/>
    <w:rsid w:val="399671BA"/>
    <w:rsid w:val="3A582C98"/>
    <w:rsid w:val="3BA6536A"/>
    <w:rsid w:val="3C4463D2"/>
    <w:rsid w:val="3C9B5AFB"/>
    <w:rsid w:val="3CDD525C"/>
    <w:rsid w:val="3DD82F3F"/>
    <w:rsid w:val="407F47F8"/>
    <w:rsid w:val="416B6379"/>
    <w:rsid w:val="421E765A"/>
    <w:rsid w:val="425C6F5E"/>
    <w:rsid w:val="42AF1BED"/>
    <w:rsid w:val="47684C8C"/>
    <w:rsid w:val="488E0DCA"/>
    <w:rsid w:val="4BA32DDE"/>
    <w:rsid w:val="4F4026F2"/>
    <w:rsid w:val="507A2A81"/>
    <w:rsid w:val="555D5D2C"/>
    <w:rsid w:val="5744624A"/>
    <w:rsid w:val="58B07973"/>
    <w:rsid w:val="591610D8"/>
    <w:rsid w:val="593C26EC"/>
    <w:rsid w:val="5DB43B79"/>
    <w:rsid w:val="5FFE1FC2"/>
    <w:rsid w:val="689B1784"/>
    <w:rsid w:val="713C7877"/>
    <w:rsid w:val="72AC4699"/>
    <w:rsid w:val="732151FE"/>
    <w:rsid w:val="76313124"/>
    <w:rsid w:val="7AFD3CAC"/>
    <w:rsid w:val="7B796210"/>
    <w:rsid w:val="7F8235F9"/>
    <w:rsid w:val="7F8E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unhideWhenUsed/>
    <w:qFormat/>
    <w:uiPriority w:val="39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8">
    <w:name w:val="toc 2"/>
    <w:basedOn w:val="1"/>
    <w:next w:val="1"/>
    <w:unhideWhenUsed/>
    <w:qFormat/>
    <w:uiPriority w:val="39"/>
    <w:pPr>
      <w:ind w:left="210"/>
      <w:jc w:val="left"/>
    </w:pPr>
    <w:rPr>
      <w:rFonts w:cs="Calibri"/>
      <w:smallCaps/>
      <w:sz w:val="20"/>
      <w:szCs w:val="20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41"/>
    <w:qFormat/>
    <w:uiPriority w:val="0"/>
    <w:rPr>
      <w:rFonts w:hint="default" w:ascii="仿宋_GB2312" w:eastAsia="仿宋_GB2312" w:cs="仿宋_GB2312"/>
      <w:color w:val="000000"/>
      <w:sz w:val="32"/>
      <w:szCs w:val="32"/>
      <w:u w:val="none"/>
    </w:rPr>
  </w:style>
  <w:style w:type="paragraph" w:customStyle="1" w:styleId="13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6091"/>
      <w:kern w:val="0"/>
      <w:sz w:val="32"/>
      <w:szCs w:val="32"/>
    </w:rPr>
  </w:style>
  <w:style w:type="character" w:customStyle="1" w:styleId="14">
    <w:name w:val="font3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1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6">
    <w:name w:val="font5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16416</Words>
  <Characters>17656</Characters>
  <Lines>0</Lines>
  <Paragraphs>0</Paragraphs>
  <TotalTime>1</TotalTime>
  <ScaleCrop>false</ScaleCrop>
  <LinksUpToDate>false</LinksUpToDate>
  <CharactersWithSpaces>18003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2022-08-17T09:19:00Z</dcterms:created>
  <dc:creator>Administrator</dc:creator>
  <cp:lastModifiedBy>Administrator</cp:lastModifiedBy>
  <dcterms:modified xsi:type="dcterms:W3CDTF">2023-03-27T02:10:00Z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3298F8C349C74BE999D2046D50EC3FA6</vt:lpwstr>
  </property>
</Properties>
</file>