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方正小标宋简体" w:hAnsi="黑体" w:eastAsia="方正小标宋简体"/>
          <w:color w:val="auto"/>
          <w:spacing w:val="-10"/>
          <w:sz w:val="44"/>
          <w:szCs w:val="44"/>
          <w:highlight w:val="none"/>
        </w:rPr>
      </w:pPr>
      <w:r>
        <w:rPr>
          <w:rFonts w:hint="eastAsia" w:ascii="方正小标宋简体" w:hAnsi="黑体" w:eastAsia="方正小标宋简体"/>
          <w:color w:val="auto"/>
          <w:spacing w:val="-4"/>
          <w:sz w:val="44"/>
          <w:szCs w:val="44"/>
          <w:highlight w:val="none"/>
        </w:rPr>
        <w:t>绥阳县2022年全县及县本级预算执行情况和</w:t>
      </w:r>
      <w:r>
        <w:rPr>
          <w:rFonts w:hint="eastAsia" w:ascii="方正小标宋简体" w:hAnsi="黑体" w:eastAsia="方正小标宋简体"/>
          <w:color w:val="auto"/>
          <w:spacing w:val="-10"/>
          <w:sz w:val="44"/>
          <w:szCs w:val="44"/>
          <w:highlight w:val="none"/>
        </w:rPr>
        <w:t>2023年全县及县本级预算草案报告</w:t>
      </w:r>
    </w:p>
    <w:p>
      <w:pPr>
        <w:spacing w:beforeLines="100" w:line="560" w:lineRule="exact"/>
        <w:jc w:val="center"/>
        <w:rPr>
          <w:rFonts w:ascii="楷体_GB2312" w:hAnsi="楷体" w:eastAsia="楷体_GB2312" w:cs="楷体_GB2312"/>
          <w:bCs/>
          <w:color w:val="auto"/>
          <w:sz w:val="32"/>
          <w:szCs w:val="32"/>
          <w:highlight w:val="none"/>
        </w:rPr>
      </w:pPr>
      <w:r>
        <w:rPr>
          <w:rFonts w:hint="eastAsia" w:ascii="楷体_GB2312" w:hAnsi="楷体" w:eastAsia="楷体_GB2312" w:cs="楷体_GB2312"/>
          <w:bCs/>
          <w:color w:val="auto"/>
          <w:sz w:val="32"/>
          <w:szCs w:val="32"/>
          <w:highlight w:val="none"/>
        </w:rPr>
        <w:t>（2023年1月</w:t>
      </w:r>
      <w:r>
        <w:rPr>
          <w:rFonts w:hint="eastAsia" w:ascii="楷体_GB2312" w:hAnsi="楷体" w:eastAsia="楷体_GB2312" w:cs="楷体_GB2312"/>
          <w:bCs/>
          <w:color w:val="auto"/>
          <w:sz w:val="32"/>
          <w:szCs w:val="32"/>
          <w:highlight w:val="none"/>
          <w:lang w:val="en-US" w:eastAsia="zh-CN"/>
        </w:rPr>
        <w:t>7</w:t>
      </w:r>
      <w:r>
        <w:rPr>
          <w:rFonts w:hint="eastAsia" w:ascii="楷体_GB2312" w:hAnsi="楷体" w:eastAsia="楷体_GB2312" w:cs="楷体_GB2312"/>
          <w:bCs/>
          <w:color w:val="auto"/>
          <w:sz w:val="32"/>
          <w:szCs w:val="32"/>
          <w:highlight w:val="none"/>
        </w:rPr>
        <w:t>日</w:t>
      </w:r>
      <w:r>
        <w:rPr>
          <w:rFonts w:hint="eastAsia" w:ascii="楷体_GB2312" w:hAnsi="华文楷体" w:eastAsia="楷体_GB2312" w:cs="楷体"/>
          <w:color w:val="auto"/>
          <w:sz w:val="32"/>
          <w:szCs w:val="32"/>
          <w:highlight w:val="none"/>
        </w:rPr>
        <w:t>在</w:t>
      </w:r>
      <w:r>
        <w:rPr>
          <w:rFonts w:hint="eastAsia" w:ascii="楷体_GB2312" w:hAnsi="楷体" w:eastAsia="楷体_GB2312" w:cs="楷体_GB2312"/>
          <w:bCs/>
          <w:color w:val="auto"/>
          <w:sz w:val="32"/>
          <w:szCs w:val="32"/>
          <w:highlight w:val="none"/>
        </w:rPr>
        <w:t>县第十八届人民代表大会第二次会议上）</w:t>
      </w:r>
    </w:p>
    <w:p>
      <w:pPr>
        <w:spacing w:line="500" w:lineRule="exact"/>
        <w:jc w:val="center"/>
        <w:rPr>
          <w:rFonts w:ascii="楷体_GB2312" w:eastAsia="楷体_GB2312"/>
          <w:color w:val="auto"/>
          <w:sz w:val="32"/>
          <w:szCs w:val="32"/>
          <w:highlight w:val="none"/>
        </w:rPr>
      </w:pPr>
      <w:r>
        <w:rPr>
          <w:rFonts w:hint="eastAsia" w:ascii="楷体_GB2312" w:eastAsia="楷体_GB2312"/>
          <w:color w:val="auto"/>
          <w:sz w:val="32"/>
          <w:szCs w:val="32"/>
          <w:highlight w:val="none"/>
        </w:rPr>
        <w:t>绥阳县财政局局长</w:t>
      </w:r>
      <w:r>
        <w:rPr>
          <w:rFonts w:hint="eastAsia" w:ascii="楷体_GB2312" w:eastAsia="楷体_GB2312"/>
          <w:color w:val="auto"/>
          <w:sz w:val="32"/>
          <w:szCs w:val="32"/>
          <w:highlight w:val="none"/>
          <w:lang w:val="en-US" w:eastAsia="zh-CN"/>
        </w:rPr>
        <w:t xml:space="preserve">  </w:t>
      </w:r>
      <w:r>
        <w:rPr>
          <w:rFonts w:hint="eastAsia" w:ascii="楷体_GB2312" w:eastAsia="楷体_GB2312"/>
          <w:color w:val="auto"/>
          <w:sz w:val="32"/>
          <w:szCs w:val="32"/>
          <w:highlight w:val="none"/>
        </w:rPr>
        <w:t>方文海</w:t>
      </w:r>
    </w:p>
    <w:p>
      <w:pPr>
        <w:spacing w:line="500" w:lineRule="exact"/>
        <w:rPr>
          <w:rFonts w:ascii="楷体_GB2312" w:eastAsia="楷体_GB2312"/>
          <w:color w:val="auto"/>
          <w:spacing w:val="24"/>
          <w:sz w:val="32"/>
          <w:szCs w:val="32"/>
          <w:highlight w:val="none"/>
        </w:rPr>
      </w:pPr>
    </w:p>
    <w:p>
      <w:pPr>
        <w:spacing w:line="540" w:lineRule="exact"/>
        <w:ind w:left="-540" w:leftChars="-257" w:right="-155" w:rightChars="-74" w:firstLine="576" w:firstLineChars="18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各位代表：</w:t>
      </w:r>
    </w:p>
    <w:p>
      <w:pPr>
        <w:spacing w:line="54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受县人民政府委托，现向会议报告绥阳县2022年全县及县本级预算执行情况和2023年全县及县本级预算草案，敬请审议，并请列席会议的同志提出宝贵意见。</w:t>
      </w:r>
    </w:p>
    <w:p>
      <w:pPr>
        <w:spacing w:line="54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一、2022年全县和县本级预算执行情况</w:t>
      </w:r>
    </w:p>
    <w:p>
      <w:pPr>
        <w:pStyle w:val="6"/>
        <w:widowControl w:val="0"/>
        <w:suppressAutoHyphens/>
        <w:spacing w:before="0" w:beforeAutospacing="0" w:after="0" w:afterAutospacing="0" w:line="540" w:lineRule="exact"/>
        <w:ind w:firstLine="640" w:firstLineChars="200"/>
        <w:jc w:val="both"/>
        <w:rPr>
          <w:rFonts w:ascii="仿宋_GB2312" w:eastAsia="仿宋_GB2312"/>
          <w:color w:val="auto"/>
          <w:sz w:val="32"/>
          <w:szCs w:val="32"/>
          <w:highlight w:val="none"/>
        </w:rPr>
      </w:pPr>
      <w:r>
        <w:rPr>
          <w:rFonts w:hint="eastAsia" w:ascii="仿宋_GB2312" w:eastAsia="仿宋_GB2312"/>
          <w:color w:val="auto"/>
          <w:sz w:val="32"/>
          <w:szCs w:val="32"/>
          <w:highlight w:val="none"/>
        </w:rPr>
        <w:t>2022年，财政部门认真贯彻落实中央“疫情要防住、经济要稳住、发展要安全”等要求，在县委的坚强领导和县人大、县政协的监督支持下，坚持稳字当头、稳中求进，努力克服新冠疫情和大规模减税退税等因素的叠加冲击，有力兜住财政“三保”底线，有效防范化解政府债务风险，较好完成全年主要目标任务。预算执行基本平稳</w:t>
      </w:r>
      <w:r>
        <w:rPr>
          <w:rFonts w:hint="eastAsia" w:ascii="仿宋_GB2312" w:hAnsi="仿宋" w:eastAsia="仿宋_GB2312"/>
          <w:color w:val="auto"/>
          <w:sz w:val="32"/>
          <w:szCs w:val="32"/>
          <w:highlight w:val="none"/>
        </w:rPr>
        <w:t>。</w:t>
      </w:r>
    </w:p>
    <w:p>
      <w:pPr>
        <w:pStyle w:val="6"/>
        <w:widowControl w:val="0"/>
        <w:suppressAutoHyphens/>
        <w:spacing w:before="0" w:beforeAutospacing="0" w:after="0" w:afterAutospacing="0" w:line="540" w:lineRule="exact"/>
        <w:ind w:firstLine="640" w:firstLineChars="200"/>
        <w:jc w:val="both"/>
        <w:rPr>
          <w:rFonts w:ascii="楷体_GB2312" w:eastAsia="楷体_GB2312"/>
          <w:color w:val="auto"/>
          <w:sz w:val="32"/>
          <w:szCs w:val="32"/>
          <w:highlight w:val="none"/>
        </w:rPr>
      </w:pPr>
      <w:r>
        <w:rPr>
          <w:rFonts w:hint="eastAsia" w:ascii="楷体_GB2312" w:eastAsia="楷体_GB2312"/>
          <w:color w:val="auto"/>
          <w:sz w:val="32"/>
          <w:szCs w:val="32"/>
          <w:highlight w:val="none"/>
        </w:rPr>
        <w:t>（一）2022年预算执行情况</w:t>
      </w:r>
      <w:bookmarkStart w:id="0" w:name="_GoBack"/>
      <w:bookmarkEnd w:id="0"/>
    </w:p>
    <w:p>
      <w:pPr>
        <w:suppressAutoHyphens/>
        <w:spacing w:line="540" w:lineRule="exact"/>
        <w:ind w:firstLine="643" w:firstLineChars="200"/>
        <w:rPr>
          <w:rFonts w:ascii="仿宋_GB2312" w:eastAsia="仿宋_GB2312"/>
          <w:b/>
          <w:color w:val="auto"/>
          <w:sz w:val="32"/>
          <w:szCs w:val="32"/>
          <w:highlight w:val="none"/>
        </w:rPr>
      </w:pPr>
      <w:r>
        <w:rPr>
          <w:rFonts w:hint="eastAsia" w:ascii="仿宋_GB2312" w:eastAsia="仿宋_GB2312"/>
          <w:b/>
          <w:color w:val="auto"/>
          <w:sz w:val="32"/>
          <w:szCs w:val="32"/>
          <w:highlight w:val="none"/>
        </w:rPr>
        <w:t>1．全县一般公共预算执行情况</w:t>
      </w:r>
    </w:p>
    <w:p>
      <w:pPr>
        <w:suppressAutoHyphens/>
        <w:spacing w:line="54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县十八届人大一次会议审议通过的2022年预算为：全县</w:t>
      </w:r>
      <w:r>
        <w:rPr>
          <w:rFonts w:hint="eastAsia" w:ascii="仿宋_GB2312" w:hAnsi="仿宋" w:eastAsia="仿宋_GB2312"/>
          <w:color w:val="auto"/>
          <w:sz w:val="32"/>
          <w:szCs w:val="32"/>
          <w:highlight w:val="none"/>
        </w:rPr>
        <w:t>财政总收入年初预算97,900万元，比上年实绩94,713万元增长3.36%，增收3,187万元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一般公共预算收入年初预算43,400万元，比上年实绩41,831万元增长3.75%，增收1,569万元</w:t>
      </w:r>
      <w:r>
        <w:rPr>
          <w:rFonts w:hint="eastAsia" w:ascii="仿宋_GB2312" w:eastAsia="仿宋_GB2312"/>
          <w:color w:val="auto"/>
          <w:sz w:val="32"/>
          <w:szCs w:val="32"/>
          <w:highlight w:val="none"/>
        </w:rPr>
        <w:t>。预算执行中，</w:t>
      </w:r>
      <w:r>
        <w:rPr>
          <w:rFonts w:hint="eastAsia" w:ascii="仿宋" w:hAnsi="仿宋" w:eastAsia="仿宋"/>
          <w:color w:val="auto"/>
          <w:sz w:val="32"/>
          <w:szCs w:val="32"/>
          <w:highlight w:val="none"/>
        </w:rPr>
        <w:t>受上级转移支付补助和新增一般债券转贷资金增加和</w:t>
      </w:r>
      <w:r>
        <w:rPr>
          <w:rFonts w:hint="eastAsia" w:ascii="仿宋" w:hAnsi="仿宋" w:eastAsia="仿宋"/>
          <w:color w:val="auto"/>
          <w:sz w:val="32"/>
          <w:szCs w:val="32"/>
          <w:highlight w:val="none"/>
          <w:lang w:eastAsia="zh-CN"/>
        </w:rPr>
        <w:t>增值税</w:t>
      </w:r>
      <w:r>
        <w:rPr>
          <w:rFonts w:hint="eastAsia" w:ascii="仿宋" w:hAnsi="仿宋" w:eastAsia="仿宋"/>
          <w:color w:val="auto"/>
          <w:sz w:val="32"/>
          <w:szCs w:val="32"/>
          <w:highlight w:val="none"/>
        </w:rPr>
        <w:t>留抵退税等因素影响，为客观反映预算执行情况</w:t>
      </w:r>
      <w:r>
        <w:rPr>
          <w:rFonts w:hint="eastAsia" w:ascii="仿宋_GB2312" w:eastAsia="仿宋_GB2312"/>
          <w:color w:val="auto"/>
          <w:sz w:val="32"/>
          <w:szCs w:val="32"/>
          <w:highlight w:val="none"/>
        </w:rPr>
        <w:t>，经县十八届人大常委会第</w:t>
      </w:r>
      <w:r>
        <w:rPr>
          <w:rFonts w:hint="eastAsia" w:ascii="仿宋_GB2312" w:hAnsi="仿宋" w:eastAsia="仿宋_GB2312"/>
          <w:color w:val="auto"/>
          <w:sz w:val="32"/>
          <w:szCs w:val="32"/>
          <w:highlight w:val="none"/>
        </w:rPr>
        <w:t>七</w:t>
      </w:r>
      <w:r>
        <w:rPr>
          <w:rFonts w:hint="eastAsia" w:ascii="仿宋_GB2312" w:eastAsia="仿宋_GB2312"/>
          <w:color w:val="auto"/>
          <w:sz w:val="32"/>
          <w:szCs w:val="32"/>
          <w:highlight w:val="none"/>
        </w:rPr>
        <w:t>次会议审议批准，财政总收入调整为</w:t>
      </w:r>
      <w:r>
        <w:rPr>
          <w:rFonts w:hint="eastAsia" w:ascii="仿宋_GB2312" w:hAnsi="仿宋" w:eastAsia="仿宋_GB2312"/>
          <w:color w:val="auto"/>
          <w:sz w:val="32"/>
          <w:szCs w:val="32"/>
          <w:highlight w:val="none"/>
        </w:rPr>
        <w:t>73,700</w:t>
      </w:r>
      <w:r>
        <w:rPr>
          <w:rFonts w:hint="eastAsia" w:ascii="仿宋_GB2312" w:eastAsia="仿宋_GB2312"/>
          <w:color w:val="auto"/>
          <w:sz w:val="32"/>
          <w:szCs w:val="32"/>
          <w:highlight w:val="none"/>
        </w:rPr>
        <w:t>万元，一般公共预算收入调整为</w:t>
      </w:r>
      <w:r>
        <w:rPr>
          <w:rFonts w:hint="eastAsia" w:ascii="仿宋_GB2312" w:hAnsi="仿宋" w:eastAsia="仿宋_GB2312"/>
          <w:color w:val="auto"/>
          <w:sz w:val="32"/>
          <w:szCs w:val="32"/>
          <w:highlight w:val="none"/>
        </w:rPr>
        <w:t>39,800</w:t>
      </w:r>
      <w:r>
        <w:rPr>
          <w:rFonts w:hint="eastAsia" w:ascii="仿宋_GB2312" w:eastAsia="仿宋_GB2312"/>
          <w:color w:val="auto"/>
          <w:sz w:val="32"/>
          <w:szCs w:val="32"/>
          <w:highlight w:val="none"/>
        </w:rPr>
        <w:t>万元，一般公共预算支出调整为</w:t>
      </w:r>
      <w:r>
        <w:rPr>
          <w:rFonts w:hint="eastAsia" w:ascii="仿宋_GB2312" w:hAnsi="仿宋" w:eastAsia="仿宋_GB2312"/>
          <w:color w:val="auto"/>
          <w:sz w:val="32"/>
          <w:szCs w:val="32"/>
          <w:highlight w:val="none"/>
        </w:rPr>
        <w:t>294,775</w:t>
      </w:r>
      <w:r>
        <w:rPr>
          <w:rFonts w:hint="eastAsia" w:ascii="仿宋_GB2312" w:eastAsia="仿宋_GB2312"/>
          <w:color w:val="auto"/>
          <w:sz w:val="32"/>
          <w:szCs w:val="32"/>
          <w:highlight w:val="none"/>
        </w:rPr>
        <w:t>万元。</w:t>
      </w:r>
    </w:p>
    <w:p>
      <w:pPr>
        <w:spacing w:line="54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根据财政快报显示，2022年全县财政总收入完成</w:t>
      </w:r>
      <w:r>
        <w:rPr>
          <w:rFonts w:hint="eastAsia" w:ascii="仿宋_GB2312" w:hAnsi="仿宋" w:eastAsia="仿宋_GB2312"/>
          <w:color w:val="auto"/>
          <w:sz w:val="32"/>
          <w:szCs w:val="32"/>
          <w:highlight w:val="none"/>
        </w:rPr>
        <w:t>72,531</w:t>
      </w:r>
      <w:r>
        <w:rPr>
          <w:rFonts w:hint="eastAsia" w:ascii="仿宋_GB2312" w:eastAsia="仿宋_GB2312"/>
          <w:color w:val="auto"/>
          <w:sz w:val="32"/>
          <w:szCs w:val="32"/>
          <w:highlight w:val="none"/>
        </w:rPr>
        <w:t>万元，为预算的</w:t>
      </w:r>
      <w:r>
        <w:rPr>
          <w:rFonts w:hint="eastAsia" w:ascii="仿宋_GB2312" w:hAnsi="仿宋" w:eastAsia="仿宋_GB2312"/>
          <w:color w:val="auto"/>
          <w:sz w:val="32"/>
          <w:szCs w:val="32"/>
          <w:highlight w:val="none"/>
        </w:rPr>
        <w:t>98.41%</w:t>
      </w:r>
      <w:r>
        <w:rPr>
          <w:rFonts w:hint="eastAsia" w:ascii="仿宋_GB2312" w:eastAsia="仿宋_GB2312"/>
          <w:color w:val="auto"/>
          <w:sz w:val="32"/>
          <w:szCs w:val="32"/>
          <w:highlight w:val="none"/>
        </w:rPr>
        <w:t>，比上年实绩</w:t>
      </w:r>
      <w:r>
        <w:rPr>
          <w:rFonts w:hint="eastAsia" w:ascii="仿宋_GB2312" w:hAnsi="仿宋" w:eastAsia="仿宋_GB2312"/>
          <w:color w:val="auto"/>
          <w:sz w:val="32"/>
          <w:szCs w:val="32"/>
          <w:highlight w:val="none"/>
        </w:rPr>
        <w:t>减收</w:t>
      </w:r>
      <w:r>
        <w:rPr>
          <w:rFonts w:hint="eastAsia" w:ascii="仿宋_GB2312" w:eastAsia="仿宋_GB2312"/>
          <w:color w:val="auto"/>
          <w:sz w:val="32"/>
          <w:szCs w:val="32"/>
          <w:highlight w:val="none"/>
        </w:rPr>
        <w:t>（以下简称“</w:t>
      </w:r>
      <w:r>
        <w:rPr>
          <w:rFonts w:hint="eastAsia" w:ascii="仿宋_GB2312" w:hAnsi="仿宋" w:eastAsia="仿宋_GB2312"/>
          <w:color w:val="auto"/>
          <w:sz w:val="32"/>
          <w:szCs w:val="32"/>
          <w:highlight w:val="none"/>
        </w:rPr>
        <w:t>减收</w:t>
      </w:r>
      <w:r>
        <w:rPr>
          <w:rFonts w:hint="eastAsia" w:ascii="仿宋_GB2312" w:eastAsia="仿宋_GB2312"/>
          <w:color w:val="auto"/>
          <w:sz w:val="32"/>
          <w:szCs w:val="32"/>
          <w:highlight w:val="none"/>
        </w:rPr>
        <w:t>”）</w:t>
      </w:r>
      <w:r>
        <w:rPr>
          <w:rFonts w:hint="eastAsia" w:ascii="仿宋_GB2312" w:hAnsi="仿宋" w:eastAsia="仿宋_GB2312"/>
          <w:color w:val="auto"/>
          <w:sz w:val="32"/>
          <w:szCs w:val="32"/>
          <w:highlight w:val="none"/>
        </w:rPr>
        <w:t>22,182</w:t>
      </w:r>
      <w:r>
        <w:rPr>
          <w:rFonts w:hint="eastAsia" w:ascii="仿宋_GB2312" w:eastAsia="仿宋_GB2312"/>
          <w:color w:val="auto"/>
          <w:sz w:val="32"/>
          <w:szCs w:val="32"/>
          <w:highlight w:val="none"/>
        </w:rPr>
        <w:t>万元，比上年实绩下降（以下简称“下降”）</w:t>
      </w:r>
      <w:r>
        <w:rPr>
          <w:rFonts w:hint="eastAsia" w:ascii="仿宋_GB2312" w:hAnsi="仿宋" w:eastAsia="仿宋_GB2312"/>
          <w:color w:val="auto"/>
          <w:sz w:val="32"/>
          <w:szCs w:val="32"/>
          <w:highlight w:val="none"/>
        </w:rPr>
        <w:t>23.42%（扣除增值税留抵退税因素影响后同口径增收</w:t>
      </w:r>
      <w:r>
        <w:rPr>
          <w:rFonts w:hint="eastAsia" w:ascii="仿宋_GB2312" w:hAnsi="仿宋" w:eastAsia="仿宋_GB2312"/>
          <w:color w:val="auto"/>
          <w:sz w:val="32"/>
          <w:szCs w:val="32"/>
          <w:highlight w:val="none"/>
          <w:lang w:val="en-US" w:eastAsia="zh-CN"/>
        </w:rPr>
        <w:t>2,273</w:t>
      </w:r>
      <w:r>
        <w:rPr>
          <w:rFonts w:hint="eastAsia" w:ascii="仿宋_GB2312" w:hAnsi="仿宋" w:eastAsia="仿宋_GB2312"/>
          <w:color w:val="auto"/>
          <w:sz w:val="32"/>
          <w:szCs w:val="32"/>
          <w:highlight w:val="none"/>
        </w:rPr>
        <w:t>万元，增长</w:t>
      </w:r>
      <w:r>
        <w:rPr>
          <w:rFonts w:hint="eastAsia" w:ascii="仿宋_GB2312" w:hAnsi="仿宋" w:eastAsia="仿宋_GB2312"/>
          <w:color w:val="auto"/>
          <w:sz w:val="32"/>
          <w:szCs w:val="32"/>
          <w:highlight w:val="none"/>
          <w:lang w:val="en-US" w:eastAsia="zh-CN"/>
        </w:rPr>
        <w:t>2.38</w:t>
      </w:r>
      <w:r>
        <w:rPr>
          <w:rFonts w:hint="eastAsia" w:ascii="仿宋_GB2312" w:hAnsi="仿宋" w:eastAsia="仿宋_GB2312"/>
          <w:color w:val="auto"/>
          <w:sz w:val="32"/>
          <w:szCs w:val="32"/>
          <w:highlight w:val="none"/>
        </w:rPr>
        <w:t>%）</w:t>
      </w:r>
      <w:r>
        <w:rPr>
          <w:rFonts w:hint="eastAsia" w:ascii="仿宋_GB2312" w:eastAsia="仿宋_GB2312"/>
          <w:color w:val="auto"/>
          <w:sz w:val="32"/>
          <w:szCs w:val="32"/>
          <w:highlight w:val="none"/>
        </w:rPr>
        <w:t>。其中：税收收入</w:t>
      </w:r>
      <w:r>
        <w:rPr>
          <w:rFonts w:hint="eastAsia" w:ascii="仿宋_GB2312" w:hAnsi="仿宋" w:eastAsia="仿宋_GB2312"/>
          <w:color w:val="auto"/>
          <w:sz w:val="32"/>
          <w:szCs w:val="32"/>
          <w:highlight w:val="none"/>
        </w:rPr>
        <w:t>60,077</w:t>
      </w:r>
      <w:r>
        <w:rPr>
          <w:rFonts w:hint="eastAsia" w:ascii="仿宋_GB2312" w:eastAsia="仿宋_GB2312"/>
          <w:color w:val="auto"/>
          <w:sz w:val="32"/>
          <w:szCs w:val="32"/>
          <w:highlight w:val="none"/>
        </w:rPr>
        <w:t>万元，下降</w:t>
      </w:r>
      <w:r>
        <w:rPr>
          <w:rFonts w:hint="eastAsia" w:ascii="仿宋_GB2312" w:hAnsi="仿宋" w:eastAsia="仿宋_GB2312"/>
          <w:color w:val="auto"/>
          <w:sz w:val="32"/>
          <w:szCs w:val="32"/>
          <w:highlight w:val="none"/>
          <w:lang w:val="en-US" w:eastAsia="zh-CN"/>
        </w:rPr>
        <w:t>26.20</w:t>
      </w:r>
      <w:r>
        <w:rPr>
          <w:rFonts w:hint="eastAsia" w:ascii="仿宋_GB2312" w:hAnsi="仿宋" w:eastAsia="仿宋_GB2312"/>
          <w:color w:val="auto"/>
          <w:sz w:val="32"/>
          <w:szCs w:val="32"/>
          <w:highlight w:val="none"/>
        </w:rPr>
        <w:t>%</w:t>
      </w:r>
      <w:r>
        <w:rPr>
          <w:rFonts w:hint="eastAsia" w:ascii="仿宋_GB2312" w:eastAsia="仿宋_GB2312"/>
          <w:color w:val="auto"/>
          <w:sz w:val="32"/>
          <w:szCs w:val="32"/>
          <w:highlight w:val="none"/>
        </w:rPr>
        <w:t>；非税收入</w:t>
      </w:r>
      <w:r>
        <w:rPr>
          <w:rFonts w:hint="eastAsia" w:ascii="仿宋_GB2312" w:hAnsi="仿宋" w:eastAsia="仿宋_GB2312"/>
          <w:color w:val="auto"/>
          <w:sz w:val="32"/>
          <w:szCs w:val="32"/>
          <w:highlight w:val="none"/>
          <w:lang w:val="en-US" w:eastAsia="zh-CN"/>
        </w:rPr>
        <w:t>12</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454</w:t>
      </w:r>
      <w:r>
        <w:rPr>
          <w:rFonts w:hint="eastAsia" w:ascii="仿宋_GB2312" w:eastAsia="仿宋_GB2312"/>
          <w:color w:val="auto"/>
          <w:sz w:val="32"/>
          <w:szCs w:val="32"/>
          <w:highlight w:val="none"/>
        </w:rPr>
        <w:t>万元，下降</w:t>
      </w:r>
      <w:r>
        <w:rPr>
          <w:rFonts w:hint="eastAsia" w:ascii="仿宋_GB2312" w:hAnsi="仿宋" w:eastAsia="仿宋_GB2312"/>
          <w:color w:val="auto"/>
          <w:sz w:val="32"/>
          <w:szCs w:val="32"/>
          <w:highlight w:val="none"/>
          <w:lang w:val="en-US" w:eastAsia="zh-CN"/>
        </w:rPr>
        <w:t>6.42</w:t>
      </w:r>
      <w:r>
        <w:rPr>
          <w:rFonts w:hint="eastAsia" w:ascii="仿宋_GB2312" w:hAnsi="仿宋" w:eastAsia="仿宋_GB2312"/>
          <w:color w:val="auto"/>
          <w:sz w:val="32"/>
          <w:szCs w:val="32"/>
          <w:highlight w:val="none"/>
        </w:rPr>
        <w:t>%</w:t>
      </w:r>
      <w:r>
        <w:rPr>
          <w:rFonts w:hint="eastAsia" w:ascii="仿宋_GB2312" w:eastAsia="仿宋_GB2312"/>
          <w:color w:val="auto"/>
          <w:sz w:val="32"/>
          <w:szCs w:val="32"/>
          <w:highlight w:val="none"/>
        </w:rPr>
        <w:t>。全县一般公共预算收入完成</w:t>
      </w:r>
      <w:r>
        <w:rPr>
          <w:rFonts w:hint="eastAsia" w:ascii="仿宋_GB2312" w:hAnsi="仿宋" w:eastAsia="仿宋_GB2312"/>
          <w:color w:val="auto"/>
          <w:sz w:val="32"/>
          <w:szCs w:val="32"/>
          <w:highlight w:val="none"/>
          <w:lang w:val="en-US" w:eastAsia="zh-CN"/>
        </w:rPr>
        <w:t>40,073</w:t>
      </w:r>
      <w:r>
        <w:rPr>
          <w:rFonts w:hint="eastAsia" w:ascii="仿宋_GB2312" w:eastAsia="仿宋_GB2312"/>
          <w:color w:val="auto"/>
          <w:sz w:val="32"/>
          <w:szCs w:val="32"/>
          <w:highlight w:val="none"/>
        </w:rPr>
        <w:t>万元，为预算的</w:t>
      </w:r>
      <w:r>
        <w:rPr>
          <w:rFonts w:hint="eastAsia" w:ascii="仿宋_GB2312" w:hAnsi="仿宋" w:eastAsia="仿宋_GB2312"/>
          <w:color w:val="auto"/>
          <w:sz w:val="32"/>
          <w:szCs w:val="32"/>
          <w:highlight w:val="none"/>
          <w:lang w:val="en-US" w:eastAsia="zh-CN"/>
        </w:rPr>
        <w:t>100.69%</w:t>
      </w:r>
      <w:r>
        <w:rPr>
          <w:rFonts w:hint="eastAsia" w:ascii="仿宋_GB2312" w:eastAsia="仿宋_GB2312"/>
          <w:color w:val="auto"/>
          <w:sz w:val="32"/>
          <w:szCs w:val="32"/>
          <w:highlight w:val="none"/>
        </w:rPr>
        <w:t>，</w:t>
      </w:r>
      <w:r>
        <w:rPr>
          <w:rFonts w:hint="eastAsia" w:ascii="仿宋_GB2312" w:hAnsi="仿宋" w:eastAsia="仿宋_GB2312"/>
          <w:color w:val="auto"/>
          <w:sz w:val="32"/>
          <w:szCs w:val="32"/>
          <w:highlight w:val="none"/>
        </w:rPr>
        <w:t>比上年实绩减收</w:t>
      </w:r>
      <w:r>
        <w:rPr>
          <w:rFonts w:hint="eastAsia" w:ascii="仿宋_GB2312" w:hAnsi="仿宋" w:eastAsia="仿宋_GB2312"/>
          <w:color w:val="auto"/>
          <w:sz w:val="32"/>
          <w:szCs w:val="32"/>
          <w:highlight w:val="none"/>
          <w:lang w:val="en-US" w:eastAsia="zh-CN"/>
        </w:rPr>
        <w:t>1,758</w:t>
      </w:r>
      <w:r>
        <w:rPr>
          <w:rFonts w:hint="eastAsia" w:ascii="仿宋_GB2312" w:hAnsi="仿宋" w:eastAsia="仿宋_GB2312"/>
          <w:color w:val="auto"/>
          <w:sz w:val="32"/>
          <w:szCs w:val="32"/>
          <w:highlight w:val="none"/>
        </w:rPr>
        <w:t>万元，下降</w:t>
      </w:r>
      <w:r>
        <w:rPr>
          <w:rFonts w:hint="eastAsia" w:ascii="仿宋_GB2312" w:hAnsi="仿宋" w:eastAsia="仿宋_GB2312"/>
          <w:color w:val="auto"/>
          <w:sz w:val="32"/>
          <w:szCs w:val="32"/>
          <w:highlight w:val="none"/>
          <w:lang w:val="en-US" w:eastAsia="zh-CN"/>
        </w:rPr>
        <w:t>4.20%</w:t>
      </w:r>
      <w:r>
        <w:rPr>
          <w:rFonts w:hint="eastAsia" w:ascii="仿宋_GB2312" w:hAnsi="仿宋" w:eastAsia="仿宋_GB2312"/>
          <w:color w:val="auto"/>
          <w:sz w:val="32"/>
          <w:szCs w:val="32"/>
          <w:highlight w:val="none"/>
        </w:rPr>
        <w:t>（扣除增值税留抵退税因素影响后同口径增收</w:t>
      </w:r>
      <w:r>
        <w:rPr>
          <w:rFonts w:hint="eastAsia" w:ascii="仿宋_GB2312" w:hAnsi="仿宋" w:eastAsia="仿宋_GB2312"/>
          <w:color w:val="auto"/>
          <w:sz w:val="32"/>
          <w:szCs w:val="32"/>
          <w:highlight w:val="none"/>
          <w:lang w:val="en-US" w:eastAsia="zh-CN"/>
        </w:rPr>
        <w:t>2,170</w:t>
      </w:r>
      <w:r>
        <w:rPr>
          <w:rFonts w:hint="eastAsia" w:ascii="仿宋_GB2312" w:hAnsi="仿宋" w:eastAsia="仿宋_GB2312"/>
          <w:color w:val="auto"/>
          <w:sz w:val="32"/>
          <w:szCs w:val="32"/>
          <w:highlight w:val="none"/>
        </w:rPr>
        <w:t>万元，增长</w:t>
      </w:r>
      <w:r>
        <w:rPr>
          <w:rFonts w:hint="eastAsia" w:ascii="仿宋_GB2312" w:hAnsi="仿宋" w:eastAsia="仿宋_GB2312"/>
          <w:color w:val="auto"/>
          <w:sz w:val="32"/>
          <w:szCs w:val="32"/>
          <w:highlight w:val="none"/>
          <w:lang w:val="en-US" w:eastAsia="zh-CN"/>
        </w:rPr>
        <w:t>5.09%</w:t>
      </w:r>
      <w:r>
        <w:rPr>
          <w:rFonts w:hint="eastAsia" w:ascii="仿宋_GB2312" w:hAnsi="仿宋" w:eastAsia="仿宋_GB2312"/>
          <w:color w:val="auto"/>
          <w:sz w:val="32"/>
          <w:szCs w:val="32"/>
          <w:highlight w:val="none"/>
        </w:rPr>
        <w:t>）。</w:t>
      </w:r>
      <w:r>
        <w:rPr>
          <w:rFonts w:hint="eastAsia" w:ascii="仿宋_GB2312" w:eastAsia="仿宋_GB2312"/>
          <w:color w:val="auto"/>
          <w:sz w:val="32"/>
          <w:szCs w:val="32"/>
          <w:highlight w:val="none"/>
        </w:rPr>
        <w:t>其中：税收收入</w:t>
      </w:r>
      <w:r>
        <w:rPr>
          <w:rFonts w:hint="eastAsia" w:ascii="仿宋_GB2312" w:hAnsi="仿宋" w:eastAsia="仿宋_GB2312"/>
          <w:color w:val="auto"/>
          <w:sz w:val="32"/>
          <w:szCs w:val="32"/>
          <w:highlight w:val="none"/>
          <w:lang w:val="en-US" w:eastAsia="zh-CN"/>
        </w:rPr>
        <w:t>29,503</w:t>
      </w:r>
      <w:r>
        <w:rPr>
          <w:rFonts w:hint="eastAsia" w:ascii="仿宋_GB2312" w:eastAsia="仿宋_GB2312"/>
          <w:color w:val="auto"/>
          <w:sz w:val="32"/>
          <w:szCs w:val="32"/>
          <w:highlight w:val="none"/>
        </w:rPr>
        <w:t>万元</w:t>
      </w:r>
      <w:r>
        <w:rPr>
          <w:rFonts w:hint="eastAsia" w:ascii="仿宋" w:hAnsi="仿宋" w:eastAsia="仿宋" w:cs="仿宋"/>
          <w:color w:val="auto"/>
          <w:sz w:val="32"/>
          <w:szCs w:val="32"/>
          <w:highlight w:val="none"/>
        </w:rPr>
        <w:t>，下降</w:t>
      </w:r>
      <w:r>
        <w:rPr>
          <w:rFonts w:hint="eastAsia" w:ascii="仿宋_GB2312" w:hAnsi="仿宋" w:eastAsia="仿宋_GB2312"/>
          <w:color w:val="auto"/>
          <w:sz w:val="32"/>
          <w:szCs w:val="32"/>
          <w:highlight w:val="none"/>
          <w:lang w:val="en-US" w:eastAsia="zh-CN"/>
        </w:rPr>
        <w:t>4.26%</w:t>
      </w:r>
      <w:r>
        <w:rPr>
          <w:rFonts w:hint="eastAsia" w:ascii="仿宋" w:hAnsi="仿宋" w:eastAsia="仿宋" w:cs="仿宋"/>
          <w:color w:val="auto"/>
          <w:sz w:val="32"/>
          <w:szCs w:val="32"/>
          <w:highlight w:val="none"/>
        </w:rPr>
        <w:t>；</w:t>
      </w:r>
      <w:r>
        <w:rPr>
          <w:rFonts w:hint="eastAsia" w:ascii="仿宋_GB2312" w:eastAsia="仿宋_GB2312"/>
          <w:color w:val="auto"/>
          <w:sz w:val="32"/>
          <w:szCs w:val="32"/>
          <w:highlight w:val="none"/>
        </w:rPr>
        <w:t>非税收入</w:t>
      </w:r>
      <w:r>
        <w:rPr>
          <w:rFonts w:hint="eastAsia" w:ascii="仿宋_GB2312" w:hAnsi="仿宋" w:eastAsia="仿宋_GB2312"/>
          <w:color w:val="auto"/>
          <w:sz w:val="32"/>
          <w:szCs w:val="32"/>
          <w:highlight w:val="none"/>
          <w:lang w:val="en-US" w:eastAsia="zh-CN"/>
        </w:rPr>
        <w:t>10,570</w:t>
      </w:r>
      <w:r>
        <w:rPr>
          <w:rFonts w:hint="eastAsia" w:ascii="仿宋_GB2312" w:eastAsia="仿宋_GB2312"/>
          <w:color w:val="auto"/>
          <w:sz w:val="32"/>
          <w:szCs w:val="32"/>
          <w:highlight w:val="none"/>
        </w:rPr>
        <w:t>万元，</w:t>
      </w:r>
      <w:r>
        <w:rPr>
          <w:rFonts w:hint="eastAsia" w:ascii="仿宋" w:hAnsi="仿宋" w:eastAsia="仿宋" w:cs="仿宋"/>
          <w:color w:val="auto"/>
          <w:sz w:val="32"/>
          <w:szCs w:val="32"/>
          <w:highlight w:val="none"/>
        </w:rPr>
        <w:t>下降</w:t>
      </w:r>
      <w:r>
        <w:rPr>
          <w:rFonts w:hint="eastAsia" w:ascii="仿宋_GB2312" w:hAnsi="仿宋" w:eastAsia="仿宋_GB2312"/>
          <w:color w:val="auto"/>
          <w:sz w:val="32"/>
          <w:szCs w:val="32"/>
          <w:highlight w:val="none"/>
          <w:lang w:val="en-US" w:eastAsia="zh-CN"/>
        </w:rPr>
        <w:t>4.03%</w:t>
      </w:r>
      <w:r>
        <w:rPr>
          <w:rFonts w:hint="eastAsia" w:ascii="仿宋" w:hAnsi="仿宋" w:eastAsia="仿宋" w:cs="仿宋"/>
          <w:color w:val="auto"/>
          <w:sz w:val="32"/>
          <w:szCs w:val="32"/>
          <w:highlight w:val="none"/>
        </w:rPr>
        <w:t>。</w:t>
      </w:r>
      <w:r>
        <w:rPr>
          <w:rFonts w:hint="eastAsia" w:ascii="仿宋_GB2312" w:eastAsia="仿宋_GB2312"/>
          <w:color w:val="auto"/>
          <w:sz w:val="32"/>
          <w:szCs w:val="32"/>
          <w:highlight w:val="none"/>
        </w:rPr>
        <w:t>全县一般公共预算支出完成</w:t>
      </w:r>
      <w:r>
        <w:rPr>
          <w:rFonts w:hint="eastAsia" w:ascii="仿宋_GB2312" w:hAnsi="仿宋" w:eastAsia="仿宋_GB2312"/>
          <w:color w:val="auto"/>
          <w:sz w:val="32"/>
          <w:szCs w:val="32"/>
          <w:highlight w:val="none"/>
          <w:lang w:val="en-US" w:eastAsia="zh-CN"/>
        </w:rPr>
        <w:t>253,265</w:t>
      </w:r>
      <w:r>
        <w:rPr>
          <w:rFonts w:hint="eastAsia" w:ascii="仿宋_GB2312" w:eastAsia="仿宋_GB2312"/>
          <w:color w:val="auto"/>
          <w:sz w:val="32"/>
          <w:szCs w:val="32"/>
          <w:highlight w:val="none"/>
        </w:rPr>
        <w:t>万元，比上年减少</w:t>
      </w:r>
      <w:r>
        <w:rPr>
          <w:rFonts w:hint="eastAsia" w:ascii="仿宋_GB2312" w:hAnsi="仿宋" w:eastAsia="仿宋_GB2312"/>
          <w:color w:val="auto"/>
          <w:sz w:val="32"/>
          <w:szCs w:val="32"/>
          <w:highlight w:val="none"/>
          <w:lang w:val="en-US" w:eastAsia="zh-CN"/>
        </w:rPr>
        <w:t>39,318</w:t>
      </w:r>
      <w:r>
        <w:rPr>
          <w:rFonts w:hint="eastAsia" w:ascii="仿宋_GB2312" w:eastAsia="仿宋_GB2312"/>
          <w:color w:val="auto"/>
          <w:sz w:val="32"/>
          <w:szCs w:val="32"/>
          <w:highlight w:val="none"/>
        </w:rPr>
        <w:t>万元，下降</w:t>
      </w:r>
      <w:r>
        <w:rPr>
          <w:rFonts w:hint="eastAsia" w:ascii="仿宋_GB2312" w:hAnsi="仿宋" w:eastAsia="仿宋_GB2312"/>
          <w:color w:val="auto"/>
          <w:sz w:val="32"/>
          <w:szCs w:val="32"/>
          <w:highlight w:val="none"/>
          <w:lang w:val="en-US" w:eastAsia="zh-CN"/>
        </w:rPr>
        <w:t>13.44%</w:t>
      </w:r>
      <w:r>
        <w:rPr>
          <w:rFonts w:hint="eastAsia" w:ascii="仿宋_GB2312" w:eastAsia="仿宋_GB2312"/>
          <w:color w:val="auto"/>
          <w:sz w:val="32"/>
          <w:szCs w:val="32"/>
          <w:highlight w:val="none"/>
        </w:rPr>
        <w:t>，主要是按照《省人民政府关于进一步深化预算管理制度改革的实施意见》（黔府发〔2022〕3号）关于“规范按权责发生制列支事项，市县级财政国库集中支付结余不再按权责发生制列支”的规定，对国库集中支付结余指标不再作权责发生制列支处理，导致支出减少。</w:t>
      </w:r>
    </w:p>
    <w:p>
      <w:pPr>
        <w:spacing w:line="540" w:lineRule="exact"/>
        <w:ind w:firstLine="643" w:firstLineChars="200"/>
        <w:rPr>
          <w:rFonts w:ascii="仿宋_GB2312" w:eastAsia="仿宋_GB2312"/>
          <w:color w:val="auto"/>
          <w:sz w:val="32"/>
          <w:szCs w:val="32"/>
          <w:highlight w:val="none"/>
        </w:rPr>
      </w:pPr>
      <w:r>
        <w:rPr>
          <w:rFonts w:hint="eastAsia" w:ascii="仿宋_GB2312" w:eastAsia="仿宋_GB2312"/>
          <w:b/>
          <w:color w:val="auto"/>
          <w:sz w:val="32"/>
          <w:szCs w:val="32"/>
          <w:highlight w:val="none"/>
        </w:rPr>
        <w:t>全县一般公共预算收支平衡情况：</w:t>
      </w:r>
      <w:r>
        <w:rPr>
          <w:rFonts w:hint="eastAsia" w:ascii="仿宋_GB2312" w:hAnsi="仿宋" w:eastAsia="仿宋_GB2312"/>
          <w:color w:val="auto"/>
          <w:sz w:val="32"/>
          <w:szCs w:val="32"/>
          <w:highlight w:val="none"/>
        </w:rPr>
        <w:t>全县本级收入</w:t>
      </w:r>
      <w:r>
        <w:rPr>
          <w:rFonts w:hint="eastAsia" w:ascii="仿宋_GB2312" w:hAnsi="仿宋" w:eastAsia="仿宋_GB2312"/>
          <w:color w:val="auto"/>
          <w:sz w:val="32"/>
          <w:szCs w:val="32"/>
          <w:highlight w:val="none"/>
          <w:lang w:val="en-US" w:eastAsia="zh-CN"/>
        </w:rPr>
        <w:t>40,073</w:t>
      </w:r>
      <w:r>
        <w:rPr>
          <w:rFonts w:hint="eastAsia" w:ascii="仿宋_GB2312" w:hAnsi="仿宋" w:eastAsia="仿宋_GB2312"/>
          <w:color w:val="auto"/>
          <w:sz w:val="32"/>
          <w:szCs w:val="32"/>
          <w:highlight w:val="none"/>
        </w:rPr>
        <w:t>万元，加上级补助收入</w:t>
      </w:r>
      <w:r>
        <w:rPr>
          <w:rFonts w:hint="eastAsia" w:ascii="仿宋_GB2312" w:hAnsi="仿宋" w:eastAsia="仿宋_GB2312"/>
          <w:color w:val="auto"/>
          <w:sz w:val="32"/>
          <w:szCs w:val="32"/>
          <w:highlight w:val="none"/>
          <w:lang w:val="en-US" w:eastAsia="zh-CN"/>
        </w:rPr>
        <w:t>227,193</w:t>
      </w:r>
      <w:r>
        <w:rPr>
          <w:rFonts w:hint="eastAsia" w:ascii="仿宋_GB2312" w:hAnsi="仿宋" w:eastAsia="仿宋_GB2312"/>
          <w:color w:val="auto"/>
          <w:sz w:val="32"/>
          <w:szCs w:val="32"/>
          <w:highlight w:val="none"/>
        </w:rPr>
        <w:t>万元(其中返还性收入</w:t>
      </w:r>
      <w:r>
        <w:rPr>
          <w:rFonts w:hint="eastAsia" w:ascii="仿宋_GB2312" w:hAnsi="仿宋" w:eastAsia="仿宋_GB2312"/>
          <w:color w:val="auto"/>
          <w:sz w:val="32"/>
          <w:szCs w:val="32"/>
          <w:highlight w:val="none"/>
          <w:lang w:val="en-US" w:eastAsia="zh-CN"/>
        </w:rPr>
        <w:t>8,344</w:t>
      </w:r>
      <w:r>
        <w:rPr>
          <w:rFonts w:hint="eastAsia" w:ascii="仿宋_GB2312" w:hAnsi="仿宋" w:eastAsia="仿宋_GB2312"/>
          <w:color w:val="auto"/>
          <w:sz w:val="32"/>
          <w:szCs w:val="32"/>
          <w:highlight w:val="none"/>
        </w:rPr>
        <w:t>万元、一般性财力转移支付收入</w:t>
      </w:r>
      <w:r>
        <w:rPr>
          <w:rFonts w:hint="eastAsia" w:ascii="仿宋_GB2312" w:hAnsi="仿宋" w:eastAsia="仿宋_GB2312"/>
          <w:color w:val="auto"/>
          <w:sz w:val="32"/>
          <w:szCs w:val="32"/>
          <w:highlight w:val="none"/>
          <w:lang w:val="en-US" w:eastAsia="zh-CN"/>
        </w:rPr>
        <w:t>131,388</w:t>
      </w:r>
      <w:r>
        <w:rPr>
          <w:rFonts w:hint="eastAsia" w:ascii="仿宋_GB2312" w:hAnsi="仿宋" w:eastAsia="仿宋_GB2312"/>
          <w:color w:val="auto"/>
          <w:sz w:val="32"/>
          <w:szCs w:val="32"/>
          <w:highlight w:val="none"/>
        </w:rPr>
        <w:t>万元、一般性项目转移支付收入</w:t>
      </w:r>
      <w:r>
        <w:rPr>
          <w:rFonts w:hint="eastAsia" w:ascii="仿宋_GB2312" w:hAnsi="仿宋" w:eastAsia="仿宋_GB2312"/>
          <w:color w:val="auto"/>
          <w:sz w:val="32"/>
          <w:szCs w:val="32"/>
          <w:highlight w:val="none"/>
          <w:lang w:val="en-US" w:eastAsia="zh-CN"/>
        </w:rPr>
        <w:t>70,166</w:t>
      </w:r>
      <w:r>
        <w:rPr>
          <w:rFonts w:hint="eastAsia" w:ascii="仿宋_GB2312" w:hAnsi="仿宋" w:eastAsia="仿宋_GB2312"/>
          <w:color w:val="auto"/>
          <w:sz w:val="32"/>
          <w:szCs w:val="32"/>
          <w:highlight w:val="none"/>
        </w:rPr>
        <w:t>万元、专项转移支付收入</w:t>
      </w:r>
      <w:r>
        <w:rPr>
          <w:rFonts w:hint="eastAsia" w:ascii="仿宋_GB2312" w:hAnsi="仿宋" w:eastAsia="仿宋_GB2312"/>
          <w:color w:val="auto"/>
          <w:sz w:val="32"/>
          <w:szCs w:val="32"/>
          <w:highlight w:val="none"/>
          <w:lang w:val="en-US" w:eastAsia="zh-CN"/>
        </w:rPr>
        <w:t>17,296</w:t>
      </w:r>
      <w:r>
        <w:rPr>
          <w:rFonts w:hint="eastAsia" w:ascii="仿宋_GB2312" w:hAnsi="仿宋" w:eastAsia="仿宋_GB2312"/>
          <w:color w:val="auto"/>
          <w:sz w:val="32"/>
          <w:szCs w:val="32"/>
          <w:highlight w:val="none"/>
        </w:rPr>
        <w:t>万元)，上年</w:t>
      </w:r>
      <w:r>
        <w:rPr>
          <w:rFonts w:hint="eastAsia" w:ascii="仿宋_GB2312" w:hAnsi="仿宋" w:eastAsia="仿宋_GB2312"/>
          <w:color w:val="auto"/>
          <w:sz w:val="32"/>
          <w:szCs w:val="32"/>
          <w:highlight w:val="none"/>
          <w:lang w:eastAsia="zh-CN"/>
        </w:rPr>
        <w:t>结转收入</w:t>
      </w:r>
      <w:r>
        <w:rPr>
          <w:rFonts w:hint="eastAsia" w:ascii="仿宋_GB2312" w:hAnsi="仿宋" w:eastAsia="仿宋_GB2312"/>
          <w:color w:val="auto"/>
          <w:sz w:val="32"/>
          <w:szCs w:val="32"/>
          <w:highlight w:val="none"/>
          <w:lang w:val="en-US" w:eastAsia="zh-CN"/>
        </w:rPr>
        <w:t>3,091</w:t>
      </w:r>
      <w:r>
        <w:rPr>
          <w:rFonts w:hint="eastAsia" w:ascii="仿宋_GB2312" w:hAnsi="仿宋" w:eastAsia="仿宋_GB2312"/>
          <w:color w:val="auto"/>
          <w:sz w:val="32"/>
          <w:szCs w:val="32"/>
          <w:highlight w:val="none"/>
        </w:rPr>
        <w:t>万元，调入资金</w:t>
      </w:r>
      <w:r>
        <w:rPr>
          <w:rFonts w:hint="eastAsia" w:ascii="仿宋_GB2312" w:hAnsi="仿宋" w:eastAsia="仿宋_GB2312"/>
          <w:color w:val="auto"/>
          <w:sz w:val="32"/>
          <w:szCs w:val="32"/>
          <w:highlight w:val="none"/>
          <w:lang w:val="en-US" w:eastAsia="zh-CN"/>
        </w:rPr>
        <w:t>22,339</w:t>
      </w:r>
      <w:r>
        <w:rPr>
          <w:rFonts w:hint="eastAsia" w:ascii="仿宋_GB2312" w:hAnsi="仿宋" w:eastAsia="仿宋_GB2312"/>
          <w:color w:val="auto"/>
          <w:sz w:val="32"/>
          <w:szCs w:val="32"/>
          <w:highlight w:val="none"/>
        </w:rPr>
        <w:t>万元，地方政府一般债券转贷收入</w:t>
      </w:r>
      <w:r>
        <w:rPr>
          <w:rFonts w:hint="eastAsia" w:ascii="仿宋_GB2312" w:hAnsi="仿宋" w:eastAsia="仿宋_GB2312"/>
          <w:color w:val="auto"/>
          <w:sz w:val="32"/>
          <w:szCs w:val="32"/>
          <w:highlight w:val="none"/>
          <w:lang w:val="en-US" w:eastAsia="zh-CN"/>
        </w:rPr>
        <w:t>21,883</w:t>
      </w:r>
      <w:r>
        <w:rPr>
          <w:rFonts w:hint="eastAsia" w:ascii="仿宋_GB2312" w:hAnsi="仿宋" w:eastAsia="仿宋_GB2312"/>
          <w:color w:val="auto"/>
          <w:sz w:val="32"/>
          <w:szCs w:val="32"/>
          <w:highlight w:val="none"/>
        </w:rPr>
        <w:t>万元（其中再融资一般债券</w:t>
      </w:r>
      <w:r>
        <w:rPr>
          <w:rFonts w:hint="eastAsia" w:ascii="仿宋_GB2312" w:hAnsi="仿宋" w:eastAsia="仿宋_GB2312"/>
          <w:color w:val="auto"/>
          <w:sz w:val="32"/>
          <w:szCs w:val="32"/>
          <w:highlight w:val="none"/>
          <w:lang w:val="en-US" w:eastAsia="zh-CN"/>
        </w:rPr>
        <w:t>18,064</w:t>
      </w:r>
      <w:r>
        <w:rPr>
          <w:rFonts w:hint="eastAsia" w:ascii="仿宋_GB2312" w:hAnsi="仿宋" w:eastAsia="仿宋_GB2312"/>
          <w:color w:val="auto"/>
          <w:sz w:val="32"/>
          <w:szCs w:val="32"/>
          <w:highlight w:val="none"/>
        </w:rPr>
        <w:t>万元、新增一般债券</w:t>
      </w:r>
      <w:r>
        <w:rPr>
          <w:rFonts w:hint="eastAsia" w:ascii="仿宋_GB2312" w:hAnsi="仿宋" w:eastAsia="仿宋_GB2312"/>
          <w:color w:val="auto"/>
          <w:sz w:val="32"/>
          <w:szCs w:val="32"/>
          <w:highlight w:val="none"/>
          <w:lang w:val="en-US" w:eastAsia="zh-CN"/>
        </w:rPr>
        <w:t>3,819</w:t>
      </w:r>
      <w:r>
        <w:rPr>
          <w:rFonts w:hint="eastAsia" w:ascii="仿宋_GB2312" w:hAnsi="仿宋" w:eastAsia="仿宋_GB2312"/>
          <w:color w:val="auto"/>
          <w:sz w:val="32"/>
          <w:szCs w:val="32"/>
          <w:highlight w:val="none"/>
        </w:rPr>
        <w:t>万元），动用预算稳定调节基金</w:t>
      </w:r>
      <w:r>
        <w:rPr>
          <w:rFonts w:hint="eastAsia" w:ascii="仿宋_GB2312" w:hAnsi="仿宋" w:eastAsia="仿宋_GB2312"/>
          <w:color w:val="auto"/>
          <w:sz w:val="32"/>
          <w:szCs w:val="32"/>
          <w:highlight w:val="none"/>
          <w:lang w:val="en-US" w:eastAsia="zh-CN"/>
        </w:rPr>
        <w:t>849</w:t>
      </w:r>
      <w:r>
        <w:rPr>
          <w:rFonts w:hint="eastAsia" w:ascii="仿宋_GB2312" w:hAnsi="仿宋" w:eastAsia="仿宋_GB2312"/>
          <w:color w:val="auto"/>
          <w:sz w:val="32"/>
          <w:szCs w:val="32"/>
          <w:highlight w:val="none"/>
        </w:rPr>
        <w:t>万元（其中县级</w:t>
      </w:r>
      <w:r>
        <w:rPr>
          <w:rFonts w:hint="eastAsia" w:ascii="仿宋_GB2312" w:hAnsi="仿宋" w:eastAsia="仿宋_GB2312"/>
          <w:color w:val="auto"/>
          <w:sz w:val="32"/>
          <w:szCs w:val="32"/>
          <w:highlight w:val="none"/>
          <w:lang w:val="en-US" w:eastAsia="zh-CN"/>
        </w:rPr>
        <w:t>16</w:t>
      </w:r>
      <w:r>
        <w:rPr>
          <w:rFonts w:hint="eastAsia" w:ascii="仿宋_GB2312" w:hAnsi="仿宋" w:eastAsia="仿宋_GB2312"/>
          <w:color w:val="auto"/>
          <w:sz w:val="32"/>
          <w:szCs w:val="32"/>
          <w:highlight w:val="none"/>
        </w:rPr>
        <w:t>万元、乡镇级</w:t>
      </w:r>
      <w:r>
        <w:rPr>
          <w:rFonts w:hint="eastAsia" w:ascii="仿宋_GB2312" w:hAnsi="仿宋" w:eastAsia="仿宋_GB2312"/>
          <w:color w:val="auto"/>
          <w:sz w:val="32"/>
          <w:szCs w:val="32"/>
          <w:highlight w:val="none"/>
          <w:lang w:val="en-US" w:eastAsia="zh-CN"/>
        </w:rPr>
        <w:t>833</w:t>
      </w:r>
      <w:r>
        <w:rPr>
          <w:rFonts w:hint="eastAsia" w:ascii="仿宋_GB2312" w:hAnsi="仿宋" w:eastAsia="仿宋_GB2312"/>
          <w:color w:val="auto"/>
          <w:sz w:val="32"/>
          <w:szCs w:val="32"/>
          <w:highlight w:val="none"/>
        </w:rPr>
        <w:t>万元），收入合</w:t>
      </w:r>
      <w:r>
        <w:rPr>
          <w:rFonts w:hint="eastAsia" w:ascii="仿宋_GB2312" w:hAnsi="仿宋" w:eastAsia="仿宋_GB2312"/>
          <w:color w:val="auto"/>
          <w:sz w:val="32"/>
          <w:szCs w:val="32"/>
          <w:highlight w:val="none"/>
          <w:lang w:val="en-US" w:eastAsia="zh-CN"/>
        </w:rPr>
        <w:t>计315,428</w:t>
      </w:r>
      <w:r>
        <w:rPr>
          <w:rFonts w:hint="eastAsia" w:ascii="仿宋_GB2312" w:hAnsi="仿宋" w:eastAsia="仿宋_GB2312"/>
          <w:color w:val="auto"/>
          <w:sz w:val="32"/>
          <w:szCs w:val="32"/>
          <w:highlight w:val="none"/>
        </w:rPr>
        <w:t>万元。全县本级支出</w:t>
      </w:r>
      <w:r>
        <w:rPr>
          <w:rFonts w:hint="eastAsia" w:ascii="仿宋_GB2312" w:hAnsi="仿宋" w:eastAsia="仿宋_GB2312"/>
          <w:color w:val="auto"/>
          <w:sz w:val="32"/>
          <w:szCs w:val="32"/>
          <w:highlight w:val="none"/>
          <w:lang w:val="en-US" w:eastAsia="zh-CN"/>
        </w:rPr>
        <w:t>253,265</w:t>
      </w:r>
      <w:r>
        <w:rPr>
          <w:rFonts w:hint="eastAsia" w:ascii="仿宋_GB2312" w:hAnsi="仿宋" w:eastAsia="仿宋_GB2312"/>
          <w:color w:val="auto"/>
          <w:sz w:val="32"/>
          <w:szCs w:val="32"/>
          <w:highlight w:val="none"/>
        </w:rPr>
        <w:t>万元，加上解省、市支出</w:t>
      </w:r>
      <w:r>
        <w:rPr>
          <w:rFonts w:hint="eastAsia" w:ascii="仿宋_GB2312" w:hAnsi="仿宋" w:eastAsia="仿宋_GB2312"/>
          <w:color w:val="auto"/>
          <w:sz w:val="32"/>
          <w:szCs w:val="32"/>
          <w:highlight w:val="none"/>
          <w:lang w:val="en-US" w:eastAsia="zh-CN"/>
        </w:rPr>
        <w:t>8,204</w:t>
      </w:r>
      <w:r>
        <w:rPr>
          <w:rFonts w:hint="eastAsia" w:ascii="仿宋_GB2312" w:hAnsi="仿宋" w:eastAsia="仿宋_GB2312"/>
          <w:color w:val="auto"/>
          <w:sz w:val="32"/>
          <w:szCs w:val="32"/>
          <w:highlight w:val="none"/>
        </w:rPr>
        <w:t>万元，补充预算稳定调节基金</w:t>
      </w:r>
      <w:r>
        <w:rPr>
          <w:rFonts w:hint="eastAsia" w:ascii="仿宋_GB2312" w:hAnsi="仿宋" w:eastAsia="仿宋_GB2312"/>
          <w:color w:val="auto"/>
          <w:sz w:val="32"/>
          <w:szCs w:val="32"/>
          <w:highlight w:val="none"/>
          <w:lang w:val="en-US" w:eastAsia="zh-CN"/>
        </w:rPr>
        <w:t>1,564</w:t>
      </w:r>
      <w:r>
        <w:rPr>
          <w:rFonts w:hint="eastAsia" w:ascii="仿宋_GB2312" w:hAnsi="仿宋" w:eastAsia="仿宋_GB2312"/>
          <w:color w:val="auto"/>
          <w:sz w:val="32"/>
          <w:szCs w:val="32"/>
          <w:highlight w:val="none"/>
        </w:rPr>
        <w:t>万元（其中县级</w:t>
      </w:r>
      <w:r>
        <w:rPr>
          <w:rFonts w:hint="eastAsia" w:ascii="仿宋_GB2312" w:hAnsi="仿宋" w:eastAsia="仿宋_GB2312"/>
          <w:color w:val="auto"/>
          <w:sz w:val="32"/>
          <w:szCs w:val="32"/>
          <w:highlight w:val="none"/>
          <w:lang w:val="en-US" w:eastAsia="zh-CN"/>
        </w:rPr>
        <w:t>1,060</w:t>
      </w:r>
      <w:r>
        <w:rPr>
          <w:rFonts w:hint="eastAsia" w:ascii="仿宋_GB2312" w:hAnsi="仿宋" w:eastAsia="仿宋_GB2312"/>
          <w:color w:val="auto"/>
          <w:sz w:val="32"/>
          <w:szCs w:val="32"/>
          <w:highlight w:val="none"/>
        </w:rPr>
        <w:t>万元、乡镇级</w:t>
      </w:r>
      <w:r>
        <w:rPr>
          <w:rFonts w:hint="eastAsia" w:ascii="仿宋_GB2312" w:hAnsi="仿宋" w:eastAsia="仿宋_GB2312"/>
          <w:color w:val="auto"/>
          <w:sz w:val="32"/>
          <w:szCs w:val="32"/>
          <w:highlight w:val="none"/>
          <w:lang w:val="en-US" w:eastAsia="zh-CN"/>
        </w:rPr>
        <w:t>504</w:t>
      </w:r>
      <w:r>
        <w:rPr>
          <w:rFonts w:hint="eastAsia" w:ascii="仿宋_GB2312" w:hAnsi="仿宋" w:eastAsia="仿宋_GB2312"/>
          <w:color w:val="auto"/>
          <w:sz w:val="32"/>
          <w:szCs w:val="32"/>
          <w:highlight w:val="none"/>
        </w:rPr>
        <w:t>万元），债务还本支出</w:t>
      </w:r>
      <w:r>
        <w:rPr>
          <w:rFonts w:hint="eastAsia" w:ascii="仿宋_GB2312" w:hAnsi="仿宋" w:eastAsia="仿宋_GB2312"/>
          <w:color w:val="auto"/>
          <w:sz w:val="32"/>
          <w:szCs w:val="32"/>
          <w:highlight w:val="none"/>
          <w:lang w:val="en-US" w:eastAsia="zh-CN"/>
        </w:rPr>
        <w:t>18,065</w:t>
      </w:r>
      <w:r>
        <w:rPr>
          <w:rFonts w:hint="eastAsia" w:ascii="仿宋_GB2312" w:hAnsi="仿宋" w:eastAsia="仿宋_GB2312"/>
          <w:color w:val="auto"/>
          <w:spacing w:val="-4"/>
          <w:sz w:val="32"/>
          <w:szCs w:val="32"/>
          <w:highlight w:val="none"/>
        </w:rPr>
        <w:t>万元，</w:t>
      </w:r>
      <w:r>
        <w:rPr>
          <w:rFonts w:hint="eastAsia" w:ascii="仿宋_GB2312" w:hAnsi="仿宋" w:eastAsia="仿宋_GB2312"/>
          <w:color w:val="auto"/>
          <w:spacing w:val="-4"/>
          <w:sz w:val="32"/>
          <w:szCs w:val="32"/>
          <w:highlight w:val="none"/>
          <w:lang w:eastAsia="zh-CN"/>
        </w:rPr>
        <w:t>结转下年支出</w:t>
      </w:r>
      <w:r>
        <w:rPr>
          <w:rFonts w:hint="eastAsia" w:ascii="仿宋_GB2312" w:hAnsi="仿宋" w:eastAsia="仿宋_GB2312"/>
          <w:color w:val="auto"/>
          <w:sz w:val="32"/>
          <w:szCs w:val="32"/>
          <w:highlight w:val="none"/>
          <w:lang w:val="en-US" w:eastAsia="zh-CN"/>
        </w:rPr>
        <w:t>34,330</w:t>
      </w:r>
      <w:r>
        <w:rPr>
          <w:rFonts w:hint="eastAsia" w:ascii="仿宋_GB2312" w:hAnsi="仿宋" w:eastAsia="仿宋_GB2312"/>
          <w:color w:val="auto"/>
          <w:spacing w:val="-4"/>
          <w:sz w:val="32"/>
          <w:szCs w:val="32"/>
          <w:highlight w:val="none"/>
          <w:lang w:eastAsia="zh-CN"/>
        </w:rPr>
        <w:t>万元，</w:t>
      </w:r>
      <w:r>
        <w:rPr>
          <w:rFonts w:hint="eastAsia" w:ascii="仿宋_GB2312" w:hAnsi="仿宋" w:eastAsia="仿宋_GB2312"/>
          <w:color w:val="auto"/>
          <w:spacing w:val="-4"/>
          <w:sz w:val="32"/>
          <w:szCs w:val="32"/>
          <w:highlight w:val="none"/>
        </w:rPr>
        <w:t>支出合计</w:t>
      </w:r>
      <w:r>
        <w:rPr>
          <w:rFonts w:hint="eastAsia" w:ascii="仿宋_GB2312" w:hAnsi="仿宋" w:eastAsia="仿宋_GB2312"/>
          <w:color w:val="auto"/>
          <w:sz w:val="32"/>
          <w:szCs w:val="32"/>
          <w:highlight w:val="none"/>
          <w:lang w:val="en-US" w:eastAsia="zh-CN"/>
        </w:rPr>
        <w:t>315,428</w:t>
      </w:r>
      <w:r>
        <w:rPr>
          <w:rFonts w:hint="eastAsia" w:ascii="仿宋_GB2312" w:hAnsi="仿宋" w:eastAsia="仿宋_GB2312"/>
          <w:color w:val="auto"/>
          <w:spacing w:val="-4"/>
          <w:sz w:val="32"/>
          <w:szCs w:val="32"/>
          <w:highlight w:val="none"/>
        </w:rPr>
        <w:t>万元。收支平衡</w:t>
      </w:r>
      <w:r>
        <w:rPr>
          <w:rFonts w:hint="eastAsia" w:ascii="仿宋" w:hAnsi="仿宋" w:eastAsia="仿宋" w:cs="仿宋"/>
          <w:color w:val="auto"/>
          <w:spacing w:val="-4"/>
          <w:sz w:val="32"/>
          <w:szCs w:val="32"/>
          <w:highlight w:val="none"/>
        </w:rPr>
        <w:t>。</w:t>
      </w:r>
    </w:p>
    <w:p>
      <w:pPr>
        <w:suppressAutoHyphens/>
        <w:spacing w:line="540" w:lineRule="exact"/>
        <w:ind w:firstLine="630" w:firstLineChars="196"/>
        <w:rPr>
          <w:rFonts w:ascii="仿宋_GB2312" w:eastAsia="仿宋_GB2312"/>
          <w:b/>
          <w:color w:val="auto"/>
          <w:sz w:val="32"/>
          <w:szCs w:val="32"/>
          <w:highlight w:val="none"/>
        </w:rPr>
      </w:pPr>
      <w:r>
        <w:rPr>
          <w:rFonts w:hint="eastAsia" w:ascii="仿宋_GB2312" w:eastAsia="仿宋_GB2312"/>
          <w:b/>
          <w:color w:val="auto"/>
          <w:sz w:val="32"/>
          <w:szCs w:val="32"/>
          <w:highlight w:val="none"/>
        </w:rPr>
        <w:t>2.县本级一般公共预算执行情况</w:t>
      </w:r>
    </w:p>
    <w:p>
      <w:pPr>
        <w:pStyle w:val="6"/>
        <w:widowControl w:val="0"/>
        <w:suppressAutoHyphens/>
        <w:spacing w:before="0" w:beforeAutospacing="0" w:after="0" w:afterAutospacing="0" w:line="540" w:lineRule="exact"/>
        <w:ind w:firstLine="630"/>
        <w:jc w:val="both"/>
        <w:rPr>
          <w:rFonts w:ascii="仿宋_GB2312" w:eastAsia="仿宋_GB2312"/>
          <w:color w:val="auto"/>
          <w:spacing w:val="-4"/>
          <w:sz w:val="32"/>
          <w:szCs w:val="32"/>
          <w:highlight w:val="none"/>
        </w:rPr>
      </w:pPr>
      <w:r>
        <w:rPr>
          <w:rFonts w:hint="eastAsia" w:ascii="仿宋_GB2312" w:eastAsia="仿宋_GB2312"/>
          <w:color w:val="auto"/>
          <w:sz w:val="32"/>
          <w:szCs w:val="32"/>
          <w:highlight w:val="none"/>
        </w:rPr>
        <w:t>县十八届人大一次会议审议通过的2022年县本级一般公共预算收入为</w:t>
      </w:r>
      <w:r>
        <w:rPr>
          <w:rFonts w:hint="eastAsia" w:ascii="仿宋" w:hAnsi="仿宋" w:eastAsia="仿宋"/>
          <w:color w:val="auto"/>
          <w:kern w:val="2"/>
          <w:sz w:val="32"/>
          <w:szCs w:val="32"/>
          <w:highlight w:val="none"/>
        </w:rPr>
        <w:t>26,437</w:t>
      </w:r>
      <w:r>
        <w:rPr>
          <w:rFonts w:hint="eastAsia" w:ascii="仿宋_GB2312" w:eastAsia="仿宋_GB2312"/>
          <w:color w:val="auto"/>
          <w:sz w:val="32"/>
          <w:szCs w:val="32"/>
          <w:highlight w:val="none"/>
        </w:rPr>
        <w:t>万元、一般公共预算支出为</w:t>
      </w:r>
      <w:r>
        <w:rPr>
          <w:rFonts w:hint="eastAsia" w:ascii="仿宋" w:hAnsi="仿宋" w:eastAsia="仿宋"/>
          <w:color w:val="auto"/>
          <w:kern w:val="2"/>
          <w:sz w:val="32"/>
          <w:szCs w:val="32"/>
          <w:highlight w:val="none"/>
        </w:rPr>
        <w:t>258,837</w:t>
      </w:r>
      <w:r>
        <w:rPr>
          <w:rFonts w:hint="eastAsia" w:ascii="仿宋_GB2312" w:eastAsia="仿宋_GB2312"/>
          <w:color w:val="auto"/>
          <w:sz w:val="32"/>
          <w:szCs w:val="32"/>
          <w:highlight w:val="none"/>
        </w:rPr>
        <w:t>万元。预算执行中，经县十八届人大常委会第</w:t>
      </w:r>
      <w:r>
        <w:rPr>
          <w:rFonts w:hint="eastAsia" w:ascii="仿宋" w:hAnsi="仿宋" w:eastAsia="仿宋"/>
          <w:color w:val="auto"/>
          <w:kern w:val="2"/>
          <w:sz w:val="32"/>
          <w:szCs w:val="32"/>
          <w:highlight w:val="none"/>
        </w:rPr>
        <w:t>七</w:t>
      </w:r>
      <w:r>
        <w:rPr>
          <w:rFonts w:hint="eastAsia" w:ascii="仿宋_GB2312" w:eastAsia="仿宋_GB2312"/>
          <w:color w:val="auto"/>
          <w:sz w:val="32"/>
          <w:szCs w:val="32"/>
          <w:highlight w:val="none"/>
        </w:rPr>
        <w:t>次会议审议批准，一般公共预算收入调整为</w:t>
      </w:r>
      <w:r>
        <w:rPr>
          <w:rFonts w:hint="eastAsia" w:ascii="仿宋_GB2312" w:hAnsi="仿宋" w:eastAsia="仿宋_GB2312" w:cs="Times New Roman"/>
          <w:color w:val="auto"/>
          <w:kern w:val="2"/>
          <w:sz w:val="32"/>
          <w:szCs w:val="32"/>
          <w:highlight w:val="none"/>
          <w:lang w:val="en-US" w:eastAsia="zh-CN" w:bidi="ar-SA"/>
        </w:rPr>
        <w:t>22,837</w:t>
      </w:r>
      <w:r>
        <w:rPr>
          <w:rFonts w:hint="eastAsia" w:ascii="仿宋_GB2312" w:eastAsia="仿宋_GB2312"/>
          <w:color w:val="auto"/>
          <w:sz w:val="32"/>
          <w:szCs w:val="32"/>
          <w:highlight w:val="none"/>
        </w:rPr>
        <w:t>万元，一般</w:t>
      </w:r>
      <w:r>
        <w:rPr>
          <w:rFonts w:hint="eastAsia" w:ascii="仿宋_GB2312" w:eastAsia="仿宋_GB2312"/>
          <w:color w:val="auto"/>
          <w:spacing w:val="-4"/>
          <w:sz w:val="32"/>
          <w:szCs w:val="32"/>
          <w:highlight w:val="none"/>
        </w:rPr>
        <w:t>公共预算支出调整为</w:t>
      </w:r>
      <w:r>
        <w:rPr>
          <w:rFonts w:hint="eastAsia" w:ascii="仿宋_GB2312" w:hAnsi="仿宋" w:eastAsia="仿宋_GB2312" w:cs="Times New Roman"/>
          <w:color w:val="auto"/>
          <w:kern w:val="2"/>
          <w:sz w:val="32"/>
          <w:szCs w:val="32"/>
          <w:highlight w:val="none"/>
          <w:lang w:val="en-US" w:eastAsia="zh-CN" w:bidi="ar-SA"/>
        </w:rPr>
        <w:t>271,955</w:t>
      </w:r>
      <w:r>
        <w:rPr>
          <w:rFonts w:hint="eastAsia" w:ascii="仿宋_GB2312" w:eastAsia="仿宋_GB2312"/>
          <w:color w:val="auto"/>
          <w:spacing w:val="-4"/>
          <w:sz w:val="32"/>
          <w:szCs w:val="32"/>
          <w:highlight w:val="none"/>
        </w:rPr>
        <w:t>万元。</w:t>
      </w:r>
    </w:p>
    <w:p>
      <w:pPr>
        <w:pStyle w:val="6"/>
        <w:widowControl w:val="0"/>
        <w:suppressAutoHyphens/>
        <w:spacing w:before="0" w:beforeAutospacing="0" w:after="0" w:afterAutospacing="0" w:line="540" w:lineRule="exact"/>
        <w:ind w:firstLine="63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2022年县本级一般公共预算收入完成</w:t>
      </w:r>
      <w:r>
        <w:rPr>
          <w:rFonts w:hint="eastAsia" w:ascii="仿宋_GB2312" w:hAnsi="仿宋" w:eastAsia="仿宋_GB2312" w:cs="Times New Roman"/>
          <w:color w:val="auto"/>
          <w:kern w:val="2"/>
          <w:sz w:val="32"/>
          <w:szCs w:val="32"/>
          <w:highlight w:val="none"/>
          <w:lang w:val="en-US" w:eastAsia="zh-CN" w:bidi="ar-SA"/>
        </w:rPr>
        <w:t>23,110</w:t>
      </w:r>
      <w:r>
        <w:rPr>
          <w:rFonts w:hint="eastAsia" w:ascii="仿宋" w:hAnsi="仿宋" w:eastAsia="仿宋" w:cs="仿宋"/>
          <w:color w:val="auto"/>
          <w:sz w:val="32"/>
          <w:szCs w:val="32"/>
          <w:highlight w:val="none"/>
        </w:rPr>
        <w:t>万元，为预算的</w:t>
      </w:r>
      <w:r>
        <w:rPr>
          <w:rFonts w:hint="eastAsia" w:ascii="仿宋_GB2312" w:hAnsi="仿宋" w:eastAsia="仿宋_GB2312" w:cs="Times New Roman"/>
          <w:color w:val="auto"/>
          <w:kern w:val="2"/>
          <w:sz w:val="32"/>
          <w:szCs w:val="32"/>
          <w:highlight w:val="none"/>
          <w:lang w:val="en-US" w:eastAsia="zh-CN" w:bidi="ar-SA"/>
        </w:rPr>
        <w:t>101.20%</w:t>
      </w:r>
      <w:r>
        <w:rPr>
          <w:rFonts w:hint="eastAsia" w:ascii="仿宋" w:hAnsi="仿宋" w:eastAsia="仿宋" w:cs="仿宋"/>
          <w:color w:val="auto"/>
          <w:sz w:val="32"/>
          <w:szCs w:val="32"/>
          <w:highlight w:val="none"/>
        </w:rPr>
        <w:t>，减收</w:t>
      </w:r>
      <w:r>
        <w:rPr>
          <w:rFonts w:hint="eastAsia" w:ascii="仿宋_GB2312" w:hAnsi="仿宋" w:eastAsia="仿宋_GB2312" w:cs="Times New Roman"/>
          <w:color w:val="auto"/>
          <w:kern w:val="2"/>
          <w:sz w:val="32"/>
          <w:szCs w:val="32"/>
          <w:highlight w:val="none"/>
          <w:lang w:val="en-US" w:eastAsia="zh-CN" w:bidi="ar-SA"/>
        </w:rPr>
        <w:t>1,577</w:t>
      </w:r>
      <w:r>
        <w:rPr>
          <w:rFonts w:hint="eastAsia" w:ascii="仿宋" w:hAnsi="仿宋" w:eastAsia="仿宋" w:cs="仿宋"/>
          <w:color w:val="auto"/>
          <w:sz w:val="32"/>
          <w:szCs w:val="32"/>
          <w:highlight w:val="none"/>
        </w:rPr>
        <w:t>万元，下降</w:t>
      </w:r>
      <w:r>
        <w:rPr>
          <w:rFonts w:hint="eastAsia" w:ascii="仿宋_GB2312" w:hAnsi="仿宋" w:eastAsia="仿宋_GB2312" w:cs="Times New Roman"/>
          <w:color w:val="auto"/>
          <w:kern w:val="2"/>
          <w:sz w:val="32"/>
          <w:szCs w:val="32"/>
          <w:highlight w:val="none"/>
          <w:lang w:val="en-US" w:eastAsia="zh-CN" w:bidi="ar-SA"/>
        </w:rPr>
        <w:t>6.39%</w:t>
      </w:r>
      <w:r>
        <w:rPr>
          <w:rFonts w:hint="eastAsia" w:ascii="仿宋" w:hAnsi="仿宋" w:eastAsia="仿宋" w:cs="仿宋"/>
          <w:color w:val="auto"/>
          <w:sz w:val="32"/>
          <w:szCs w:val="32"/>
          <w:highlight w:val="none"/>
        </w:rPr>
        <w:t>。其中，税收收入</w:t>
      </w:r>
      <w:r>
        <w:rPr>
          <w:rFonts w:hint="eastAsia" w:ascii="仿宋_GB2312" w:hAnsi="仿宋" w:eastAsia="仿宋_GB2312" w:cs="Times New Roman"/>
          <w:color w:val="auto"/>
          <w:kern w:val="2"/>
          <w:sz w:val="32"/>
          <w:szCs w:val="32"/>
          <w:highlight w:val="none"/>
          <w:lang w:val="en-US" w:eastAsia="zh-CN" w:bidi="ar-SA"/>
        </w:rPr>
        <w:t>14,078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增长</w:t>
      </w:r>
      <w:r>
        <w:rPr>
          <w:rFonts w:hint="eastAsia" w:ascii="仿宋_GB2312" w:hAnsi="仿宋" w:eastAsia="仿宋_GB2312" w:cs="Times New Roman"/>
          <w:color w:val="auto"/>
          <w:kern w:val="2"/>
          <w:sz w:val="32"/>
          <w:szCs w:val="32"/>
          <w:highlight w:val="none"/>
          <w:lang w:val="en-US" w:eastAsia="zh-CN" w:bidi="ar-SA"/>
        </w:rPr>
        <w:t>1.76%</w:t>
      </w:r>
      <w:r>
        <w:rPr>
          <w:rFonts w:hint="eastAsia" w:ascii="仿宋" w:hAnsi="仿宋" w:eastAsia="仿宋" w:cs="仿宋"/>
          <w:color w:val="auto"/>
          <w:sz w:val="32"/>
          <w:szCs w:val="32"/>
          <w:highlight w:val="none"/>
        </w:rPr>
        <w:t>；非税收入</w:t>
      </w:r>
      <w:r>
        <w:rPr>
          <w:rFonts w:hint="eastAsia" w:ascii="仿宋_GB2312" w:hAnsi="仿宋" w:eastAsia="仿宋_GB2312" w:cs="Times New Roman"/>
          <w:color w:val="auto"/>
          <w:kern w:val="2"/>
          <w:sz w:val="32"/>
          <w:szCs w:val="32"/>
          <w:highlight w:val="none"/>
          <w:lang w:val="en-US" w:eastAsia="zh-CN" w:bidi="ar-SA"/>
        </w:rPr>
        <w:t>9,032</w:t>
      </w:r>
      <w:r>
        <w:rPr>
          <w:rFonts w:hint="eastAsia" w:ascii="仿宋" w:hAnsi="仿宋" w:eastAsia="仿宋" w:cs="仿宋"/>
          <w:color w:val="auto"/>
          <w:sz w:val="32"/>
          <w:szCs w:val="32"/>
          <w:highlight w:val="none"/>
        </w:rPr>
        <w:t>万元，下降</w:t>
      </w:r>
      <w:r>
        <w:rPr>
          <w:rFonts w:hint="eastAsia" w:ascii="仿宋_GB2312" w:hAnsi="仿宋" w:eastAsia="仿宋_GB2312" w:cs="Times New Roman"/>
          <w:color w:val="auto"/>
          <w:kern w:val="2"/>
          <w:sz w:val="32"/>
          <w:szCs w:val="32"/>
          <w:highlight w:val="none"/>
          <w:lang w:val="en-US" w:eastAsia="zh-CN" w:bidi="ar-SA"/>
        </w:rPr>
        <w:t>16.77%</w:t>
      </w:r>
      <w:r>
        <w:rPr>
          <w:rFonts w:hint="eastAsia" w:ascii="仿宋" w:hAnsi="仿宋" w:eastAsia="仿宋" w:cs="仿宋"/>
          <w:color w:val="auto"/>
          <w:sz w:val="32"/>
          <w:szCs w:val="32"/>
          <w:highlight w:val="none"/>
        </w:rPr>
        <w:t>。县本级一般公共预算支出完成</w:t>
      </w:r>
      <w:r>
        <w:rPr>
          <w:rFonts w:hint="eastAsia" w:ascii="仿宋_GB2312" w:hAnsi="仿宋" w:eastAsia="仿宋_GB2312" w:cs="Times New Roman"/>
          <w:color w:val="auto"/>
          <w:kern w:val="2"/>
          <w:sz w:val="32"/>
          <w:szCs w:val="32"/>
          <w:highlight w:val="none"/>
          <w:lang w:val="en-US" w:eastAsia="zh-CN" w:bidi="ar-SA"/>
        </w:rPr>
        <w:t>227,723</w:t>
      </w:r>
      <w:r>
        <w:rPr>
          <w:rFonts w:hint="eastAsia" w:ascii="仿宋" w:hAnsi="仿宋" w:eastAsia="仿宋" w:cs="仿宋"/>
          <w:color w:val="auto"/>
          <w:sz w:val="32"/>
          <w:szCs w:val="32"/>
          <w:highlight w:val="none"/>
        </w:rPr>
        <w:t>万元，</w:t>
      </w:r>
      <w:r>
        <w:rPr>
          <w:rFonts w:hint="eastAsia" w:ascii="仿宋_GB2312" w:eastAsia="仿宋_GB2312"/>
          <w:color w:val="auto"/>
          <w:sz w:val="32"/>
          <w:szCs w:val="32"/>
          <w:highlight w:val="none"/>
        </w:rPr>
        <w:t>比上年减少</w:t>
      </w:r>
      <w:r>
        <w:rPr>
          <w:rFonts w:hint="eastAsia" w:ascii="仿宋_GB2312" w:hAnsi="仿宋" w:eastAsia="仿宋_GB2312" w:cs="Times New Roman"/>
          <w:color w:val="auto"/>
          <w:kern w:val="2"/>
          <w:sz w:val="32"/>
          <w:szCs w:val="32"/>
          <w:highlight w:val="none"/>
          <w:lang w:val="en-US" w:eastAsia="zh-CN" w:bidi="ar-SA"/>
        </w:rPr>
        <w:t>40,786</w:t>
      </w:r>
      <w:r>
        <w:rPr>
          <w:rFonts w:hint="eastAsia" w:ascii="仿宋_GB2312" w:eastAsia="仿宋_GB2312"/>
          <w:color w:val="auto"/>
          <w:sz w:val="32"/>
          <w:szCs w:val="32"/>
          <w:highlight w:val="none"/>
        </w:rPr>
        <w:t>万元，下降</w:t>
      </w:r>
      <w:r>
        <w:rPr>
          <w:rFonts w:hint="eastAsia" w:ascii="仿宋_GB2312" w:hAnsi="仿宋" w:eastAsia="仿宋_GB2312" w:cs="Times New Roman"/>
          <w:color w:val="auto"/>
          <w:kern w:val="2"/>
          <w:sz w:val="32"/>
          <w:szCs w:val="32"/>
          <w:highlight w:val="none"/>
          <w:lang w:val="en-US" w:eastAsia="zh-CN" w:bidi="ar-SA"/>
        </w:rPr>
        <w:t>15.19%</w:t>
      </w:r>
      <w:r>
        <w:rPr>
          <w:rFonts w:hint="eastAsia" w:ascii="仿宋" w:hAnsi="仿宋" w:eastAsia="仿宋" w:cs="仿宋"/>
          <w:color w:val="auto"/>
          <w:sz w:val="32"/>
          <w:szCs w:val="32"/>
          <w:highlight w:val="none"/>
        </w:rPr>
        <w:t>。</w:t>
      </w:r>
    </w:p>
    <w:p>
      <w:pPr>
        <w:suppressAutoHyphens/>
        <w:spacing w:line="540" w:lineRule="exact"/>
        <w:ind w:firstLine="630" w:firstLineChars="196"/>
        <w:rPr>
          <w:rFonts w:ascii="仿宋_GB2312" w:eastAsia="仿宋_GB2312"/>
          <w:color w:val="auto"/>
          <w:sz w:val="32"/>
          <w:szCs w:val="32"/>
          <w:highlight w:val="none"/>
        </w:rPr>
      </w:pPr>
      <w:r>
        <w:rPr>
          <w:rFonts w:hint="eastAsia" w:ascii="仿宋_GB2312" w:eastAsia="仿宋_GB2312"/>
          <w:b/>
          <w:color w:val="auto"/>
          <w:sz w:val="32"/>
          <w:szCs w:val="32"/>
          <w:highlight w:val="none"/>
        </w:rPr>
        <w:t>县本级一般公共预算收支平衡情况</w:t>
      </w:r>
      <w:r>
        <w:rPr>
          <w:rFonts w:hint="eastAsia" w:ascii="仿宋_GB2312" w:eastAsia="仿宋_GB2312"/>
          <w:color w:val="auto"/>
          <w:sz w:val="32"/>
          <w:szCs w:val="32"/>
          <w:highlight w:val="none"/>
        </w:rPr>
        <w:t>：县本级一般公共预算收入</w:t>
      </w:r>
      <w:r>
        <w:rPr>
          <w:rFonts w:hint="eastAsia" w:ascii="仿宋_GB2312" w:hAnsi="仿宋" w:eastAsia="仿宋_GB2312" w:cs="Times New Roman"/>
          <w:color w:val="auto"/>
          <w:kern w:val="2"/>
          <w:sz w:val="32"/>
          <w:szCs w:val="32"/>
          <w:highlight w:val="none"/>
          <w:lang w:val="en-US" w:eastAsia="zh-CN" w:bidi="ar-SA"/>
        </w:rPr>
        <w:t>23,110</w:t>
      </w:r>
      <w:r>
        <w:rPr>
          <w:rFonts w:hint="eastAsia" w:ascii="仿宋_GB2312" w:eastAsia="仿宋_GB2312"/>
          <w:color w:val="auto"/>
          <w:sz w:val="32"/>
          <w:szCs w:val="32"/>
          <w:highlight w:val="none"/>
        </w:rPr>
        <w:t>万元，加上级补助收入</w:t>
      </w:r>
      <w:r>
        <w:rPr>
          <w:rFonts w:hint="eastAsia" w:ascii="仿宋_GB2312" w:hAnsi="仿宋" w:eastAsia="仿宋_GB2312" w:cs="Times New Roman"/>
          <w:color w:val="auto"/>
          <w:kern w:val="2"/>
          <w:sz w:val="32"/>
          <w:szCs w:val="32"/>
          <w:highlight w:val="none"/>
          <w:lang w:val="en-US" w:eastAsia="zh-CN" w:bidi="ar-SA"/>
        </w:rPr>
        <w:t>202,600</w:t>
      </w:r>
      <w:r>
        <w:rPr>
          <w:rFonts w:hint="eastAsia" w:ascii="仿宋_GB2312" w:eastAsia="仿宋_GB2312"/>
          <w:color w:val="auto"/>
          <w:sz w:val="32"/>
          <w:szCs w:val="32"/>
          <w:highlight w:val="none"/>
        </w:rPr>
        <w:t>万元</w:t>
      </w:r>
      <w:r>
        <w:rPr>
          <w:rFonts w:hint="eastAsia" w:ascii="仿宋_GB2312" w:eastAsia="仿宋_GB2312"/>
          <w:color w:val="auto"/>
          <w:spacing w:val="-4"/>
          <w:sz w:val="32"/>
          <w:szCs w:val="32"/>
          <w:highlight w:val="none"/>
        </w:rPr>
        <w:t>，调入</w:t>
      </w:r>
      <w:r>
        <w:rPr>
          <w:rFonts w:hint="eastAsia" w:ascii="仿宋" w:hAnsi="仿宋" w:eastAsia="仿宋" w:cs="仿宋"/>
          <w:color w:val="auto"/>
          <w:sz w:val="32"/>
          <w:szCs w:val="32"/>
          <w:highlight w:val="none"/>
        </w:rPr>
        <w:t>资金</w:t>
      </w:r>
      <w:r>
        <w:rPr>
          <w:rFonts w:hint="eastAsia" w:ascii="仿宋_GB2312" w:hAnsi="仿宋" w:eastAsia="仿宋_GB2312" w:cs="Times New Roman"/>
          <w:color w:val="auto"/>
          <w:kern w:val="2"/>
          <w:sz w:val="32"/>
          <w:szCs w:val="32"/>
          <w:highlight w:val="none"/>
          <w:lang w:val="en-US" w:eastAsia="zh-CN" w:bidi="ar-SA"/>
        </w:rPr>
        <w:t>22,339</w:t>
      </w:r>
      <w:r>
        <w:rPr>
          <w:rFonts w:hint="eastAsia" w:ascii="仿宋_GB2312" w:eastAsia="仿宋_GB2312"/>
          <w:color w:val="auto"/>
          <w:spacing w:val="-4"/>
          <w:sz w:val="32"/>
          <w:szCs w:val="32"/>
          <w:highlight w:val="none"/>
        </w:rPr>
        <w:t>万元，</w:t>
      </w:r>
      <w:r>
        <w:rPr>
          <w:rFonts w:hint="eastAsia" w:ascii="仿宋_GB2312" w:eastAsia="仿宋_GB2312"/>
          <w:color w:val="auto"/>
          <w:sz w:val="32"/>
          <w:szCs w:val="32"/>
          <w:highlight w:val="none"/>
        </w:rPr>
        <w:t>地方政府一般债券转贷收入</w:t>
      </w:r>
      <w:r>
        <w:rPr>
          <w:rFonts w:hint="eastAsia" w:ascii="仿宋" w:hAnsi="仿宋" w:eastAsia="仿宋" w:cs="仿宋"/>
          <w:color w:val="auto"/>
          <w:sz w:val="32"/>
          <w:szCs w:val="32"/>
          <w:highlight w:val="none"/>
        </w:rPr>
        <w:t>21,883</w:t>
      </w:r>
      <w:r>
        <w:rPr>
          <w:rFonts w:hint="eastAsia" w:ascii="仿宋_GB2312" w:eastAsia="仿宋_GB2312"/>
          <w:color w:val="auto"/>
          <w:sz w:val="32"/>
          <w:szCs w:val="32"/>
          <w:highlight w:val="none"/>
        </w:rPr>
        <w:t>万元，</w:t>
      </w:r>
      <w:r>
        <w:rPr>
          <w:rFonts w:hint="eastAsia" w:ascii="仿宋_GB2312" w:eastAsia="仿宋_GB2312"/>
          <w:color w:val="auto"/>
          <w:spacing w:val="-4"/>
          <w:sz w:val="32"/>
          <w:szCs w:val="32"/>
          <w:highlight w:val="none"/>
        </w:rPr>
        <w:t>下级上解</w:t>
      </w:r>
      <w:r>
        <w:rPr>
          <w:rFonts w:hint="eastAsia" w:ascii="仿宋_GB2312" w:hAnsi="仿宋" w:eastAsia="仿宋_GB2312" w:cs="Times New Roman"/>
          <w:color w:val="auto"/>
          <w:kern w:val="2"/>
          <w:sz w:val="32"/>
          <w:szCs w:val="32"/>
          <w:highlight w:val="none"/>
          <w:lang w:val="en-US" w:eastAsia="zh-CN" w:bidi="ar-SA"/>
        </w:rPr>
        <w:t>15,945</w:t>
      </w:r>
      <w:r>
        <w:rPr>
          <w:rFonts w:hint="eastAsia" w:ascii="仿宋_GB2312" w:eastAsia="仿宋_GB2312"/>
          <w:color w:val="auto"/>
          <w:spacing w:val="-4"/>
          <w:sz w:val="32"/>
          <w:szCs w:val="32"/>
          <w:highlight w:val="none"/>
        </w:rPr>
        <w:t>万元，上年</w:t>
      </w:r>
      <w:r>
        <w:rPr>
          <w:rFonts w:hint="eastAsia" w:ascii="仿宋_GB2312" w:eastAsia="仿宋_GB2312"/>
          <w:color w:val="auto"/>
          <w:spacing w:val="-4"/>
          <w:sz w:val="32"/>
          <w:szCs w:val="32"/>
          <w:highlight w:val="none"/>
          <w:lang w:eastAsia="zh-CN"/>
        </w:rPr>
        <w:t>结转</w:t>
      </w:r>
      <w:r>
        <w:rPr>
          <w:rFonts w:hint="eastAsia" w:ascii="仿宋_GB2312" w:eastAsia="仿宋_GB2312"/>
          <w:color w:val="auto"/>
          <w:spacing w:val="-4"/>
          <w:sz w:val="32"/>
          <w:szCs w:val="32"/>
          <w:highlight w:val="none"/>
        </w:rPr>
        <w:t>收入3,091万元，动用预算稳定调节基金16万元，收入总计</w:t>
      </w:r>
      <w:r>
        <w:rPr>
          <w:rFonts w:hint="eastAsia" w:ascii="仿宋_GB2312" w:hAnsi="仿宋" w:eastAsia="仿宋_GB2312" w:cs="Times New Roman"/>
          <w:color w:val="auto"/>
          <w:kern w:val="2"/>
          <w:sz w:val="32"/>
          <w:szCs w:val="32"/>
          <w:highlight w:val="none"/>
          <w:lang w:val="en-US" w:eastAsia="zh-CN" w:bidi="ar-SA"/>
        </w:rPr>
        <w:t>288,984</w:t>
      </w:r>
      <w:r>
        <w:rPr>
          <w:rFonts w:hint="eastAsia" w:ascii="仿宋_GB2312" w:eastAsia="仿宋_GB2312"/>
          <w:color w:val="auto"/>
          <w:spacing w:val="-4"/>
          <w:sz w:val="32"/>
          <w:szCs w:val="32"/>
          <w:highlight w:val="none"/>
        </w:rPr>
        <w:t>万元。县本级一般公共预算</w:t>
      </w:r>
      <w:r>
        <w:rPr>
          <w:rFonts w:hint="eastAsia" w:ascii="仿宋" w:hAnsi="仿宋" w:eastAsia="仿宋" w:cs="仿宋"/>
          <w:color w:val="auto"/>
          <w:sz w:val="32"/>
          <w:szCs w:val="32"/>
          <w:highlight w:val="none"/>
        </w:rPr>
        <w:t>支出</w:t>
      </w:r>
      <w:r>
        <w:rPr>
          <w:rFonts w:hint="eastAsia" w:ascii="仿宋_GB2312" w:hAnsi="仿宋" w:eastAsia="仿宋_GB2312" w:cs="Times New Roman"/>
          <w:color w:val="auto"/>
          <w:kern w:val="2"/>
          <w:sz w:val="32"/>
          <w:szCs w:val="32"/>
          <w:highlight w:val="none"/>
          <w:lang w:val="en-US" w:eastAsia="zh-CN" w:bidi="ar-SA"/>
        </w:rPr>
        <w:t>227,723</w:t>
      </w:r>
      <w:r>
        <w:rPr>
          <w:rFonts w:hint="eastAsia" w:ascii="仿宋_GB2312" w:eastAsia="仿宋_GB2312"/>
          <w:color w:val="auto"/>
          <w:spacing w:val="-4"/>
          <w:sz w:val="32"/>
          <w:szCs w:val="32"/>
          <w:highlight w:val="none"/>
        </w:rPr>
        <w:t>万元，加</w:t>
      </w:r>
      <w:r>
        <w:rPr>
          <w:rFonts w:hint="eastAsia" w:ascii="仿宋_GB2312" w:eastAsia="仿宋_GB2312"/>
          <w:color w:val="auto"/>
          <w:spacing w:val="-10"/>
          <w:sz w:val="32"/>
          <w:szCs w:val="32"/>
          <w:highlight w:val="none"/>
        </w:rPr>
        <w:t>上解上级支出</w:t>
      </w:r>
      <w:r>
        <w:rPr>
          <w:rFonts w:hint="eastAsia" w:ascii="仿宋_GB2312" w:hAnsi="仿宋" w:eastAsia="仿宋_GB2312" w:cs="Times New Roman"/>
          <w:color w:val="auto"/>
          <w:kern w:val="2"/>
          <w:sz w:val="32"/>
          <w:szCs w:val="32"/>
          <w:highlight w:val="none"/>
          <w:lang w:val="en-US" w:eastAsia="zh-CN" w:bidi="ar-SA"/>
        </w:rPr>
        <w:t>8,204</w:t>
      </w:r>
      <w:r>
        <w:rPr>
          <w:rFonts w:hint="eastAsia" w:ascii="仿宋_GB2312" w:eastAsia="仿宋_GB2312"/>
          <w:color w:val="auto"/>
          <w:spacing w:val="-10"/>
          <w:sz w:val="32"/>
          <w:szCs w:val="32"/>
          <w:highlight w:val="none"/>
        </w:rPr>
        <w:t>万元</w:t>
      </w:r>
      <w:r>
        <w:rPr>
          <w:rFonts w:hint="eastAsia" w:ascii="仿宋_GB2312" w:eastAsia="仿宋_GB2312"/>
          <w:color w:val="auto"/>
          <w:sz w:val="32"/>
          <w:szCs w:val="32"/>
          <w:highlight w:val="none"/>
        </w:rPr>
        <w:t>，一般债务还本支出</w:t>
      </w:r>
      <w:r>
        <w:rPr>
          <w:rFonts w:hint="eastAsia" w:ascii="仿宋_GB2312" w:hAnsi="仿宋" w:eastAsia="仿宋_GB2312" w:cs="Times New Roman"/>
          <w:color w:val="auto"/>
          <w:kern w:val="2"/>
          <w:sz w:val="32"/>
          <w:szCs w:val="32"/>
          <w:highlight w:val="none"/>
          <w:lang w:val="en-US" w:eastAsia="zh-CN" w:bidi="ar-SA"/>
        </w:rPr>
        <w:t>18,065</w:t>
      </w:r>
      <w:r>
        <w:rPr>
          <w:rFonts w:hint="eastAsia" w:ascii="仿宋_GB2312" w:eastAsia="仿宋_GB2312"/>
          <w:color w:val="auto"/>
          <w:sz w:val="32"/>
          <w:szCs w:val="32"/>
          <w:highlight w:val="none"/>
        </w:rPr>
        <w:t>万元</w:t>
      </w:r>
      <w:r>
        <w:rPr>
          <w:rFonts w:hint="eastAsia" w:ascii="仿宋_GB2312" w:eastAsia="仿宋_GB2312"/>
          <w:color w:val="auto"/>
          <w:spacing w:val="-10"/>
          <w:sz w:val="32"/>
          <w:szCs w:val="32"/>
          <w:highlight w:val="none"/>
          <w:lang w:eastAsia="zh-CN"/>
        </w:rPr>
        <w:t>，补充预算稳定调节基金</w:t>
      </w:r>
      <w:r>
        <w:rPr>
          <w:rFonts w:hint="eastAsia" w:ascii="仿宋_GB2312" w:hAnsi="仿宋" w:eastAsia="仿宋_GB2312" w:cs="Times New Roman"/>
          <w:color w:val="auto"/>
          <w:kern w:val="2"/>
          <w:sz w:val="32"/>
          <w:szCs w:val="32"/>
          <w:highlight w:val="none"/>
          <w:lang w:val="en-US" w:eastAsia="zh-CN" w:bidi="ar-SA"/>
        </w:rPr>
        <w:t>1,060</w:t>
      </w:r>
      <w:r>
        <w:rPr>
          <w:rFonts w:hint="eastAsia" w:ascii="仿宋_GB2312" w:eastAsia="仿宋_GB2312"/>
          <w:color w:val="auto"/>
          <w:spacing w:val="-10"/>
          <w:sz w:val="32"/>
          <w:szCs w:val="32"/>
          <w:highlight w:val="none"/>
        </w:rPr>
        <w:t>万元，</w:t>
      </w:r>
      <w:r>
        <w:rPr>
          <w:rFonts w:hint="eastAsia" w:ascii="仿宋_GB2312" w:eastAsia="仿宋_GB2312"/>
          <w:color w:val="auto"/>
          <w:spacing w:val="-10"/>
          <w:sz w:val="32"/>
          <w:szCs w:val="32"/>
          <w:highlight w:val="none"/>
          <w:lang w:eastAsia="zh-CN"/>
        </w:rPr>
        <w:t>结转下年支出</w:t>
      </w:r>
      <w:r>
        <w:rPr>
          <w:rFonts w:hint="eastAsia" w:ascii="仿宋_GB2312" w:hAnsi="仿宋" w:eastAsia="仿宋_GB2312" w:cs="Times New Roman"/>
          <w:color w:val="auto"/>
          <w:kern w:val="2"/>
          <w:sz w:val="32"/>
          <w:szCs w:val="32"/>
          <w:highlight w:val="none"/>
          <w:lang w:val="en-US" w:eastAsia="zh-CN" w:bidi="ar-SA"/>
        </w:rPr>
        <w:t>33,932</w:t>
      </w:r>
      <w:r>
        <w:rPr>
          <w:rFonts w:hint="eastAsia" w:ascii="仿宋_GB2312" w:eastAsia="仿宋_GB2312"/>
          <w:color w:val="auto"/>
          <w:spacing w:val="-10"/>
          <w:sz w:val="32"/>
          <w:szCs w:val="32"/>
          <w:highlight w:val="none"/>
          <w:lang w:eastAsia="zh-CN"/>
        </w:rPr>
        <w:t>万元，支出总计</w:t>
      </w:r>
      <w:r>
        <w:rPr>
          <w:rFonts w:hint="eastAsia" w:ascii="仿宋_GB2312" w:hAnsi="仿宋" w:eastAsia="仿宋_GB2312" w:cs="Times New Roman"/>
          <w:color w:val="auto"/>
          <w:kern w:val="2"/>
          <w:sz w:val="32"/>
          <w:szCs w:val="32"/>
          <w:highlight w:val="none"/>
          <w:lang w:val="en-US" w:eastAsia="zh-CN" w:bidi="ar-SA"/>
        </w:rPr>
        <w:t>288,984</w:t>
      </w:r>
      <w:r>
        <w:rPr>
          <w:rFonts w:hint="eastAsia" w:ascii="仿宋_GB2312" w:eastAsia="仿宋_GB2312"/>
          <w:color w:val="auto"/>
          <w:spacing w:val="-4"/>
          <w:sz w:val="32"/>
          <w:szCs w:val="32"/>
          <w:highlight w:val="none"/>
        </w:rPr>
        <w:t>万元</w:t>
      </w:r>
      <w:r>
        <w:rPr>
          <w:rFonts w:hint="eastAsia" w:ascii="仿宋_GB2312" w:eastAsia="仿宋_GB2312"/>
          <w:color w:val="auto"/>
          <w:spacing w:val="-10"/>
          <w:sz w:val="32"/>
          <w:szCs w:val="32"/>
          <w:highlight w:val="none"/>
        </w:rPr>
        <w:t>。</w:t>
      </w:r>
      <w:r>
        <w:rPr>
          <w:rFonts w:hint="eastAsia" w:ascii="仿宋_GB2312" w:eastAsia="仿宋_GB2312"/>
          <w:color w:val="auto"/>
          <w:sz w:val="32"/>
          <w:szCs w:val="32"/>
          <w:highlight w:val="none"/>
        </w:rPr>
        <w:t>收支平衡。</w:t>
      </w:r>
    </w:p>
    <w:p>
      <w:pPr>
        <w:pStyle w:val="6"/>
        <w:widowControl w:val="0"/>
        <w:suppressAutoHyphens/>
        <w:spacing w:before="0" w:beforeAutospacing="0" w:after="0" w:afterAutospacing="0" w:line="540" w:lineRule="exact"/>
        <w:ind w:firstLine="643" w:firstLineChars="200"/>
        <w:rPr>
          <w:rFonts w:ascii="仿宋_GB2312" w:hAnsi="Verdana" w:eastAsia="仿宋_GB2312"/>
          <w:color w:val="auto"/>
          <w:sz w:val="32"/>
          <w:szCs w:val="32"/>
          <w:highlight w:val="none"/>
        </w:rPr>
      </w:pPr>
      <w:r>
        <w:rPr>
          <w:rStyle w:val="9"/>
          <w:rFonts w:hint="eastAsia" w:ascii="仿宋_GB2312" w:eastAsia="仿宋_GB2312"/>
          <w:color w:val="auto"/>
          <w:sz w:val="32"/>
          <w:szCs w:val="32"/>
          <w:highlight w:val="none"/>
        </w:rPr>
        <w:t>3.政府性基金预算执行情况</w:t>
      </w:r>
    </w:p>
    <w:p>
      <w:pPr>
        <w:pStyle w:val="6"/>
        <w:widowControl w:val="0"/>
        <w:suppressAutoHyphens/>
        <w:spacing w:before="0" w:beforeAutospacing="0" w:after="0" w:afterAutospacing="0" w:line="540" w:lineRule="exact"/>
        <w:ind w:firstLine="640" w:firstLineChars="200"/>
        <w:jc w:val="both"/>
        <w:rPr>
          <w:rFonts w:ascii="仿宋_GB2312" w:eastAsia="仿宋_GB2312"/>
          <w:color w:val="auto"/>
          <w:sz w:val="32"/>
          <w:szCs w:val="32"/>
          <w:highlight w:val="none"/>
        </w:rPr>
      </w:pPr>
      <w:r>
        <w:rPr>
          <w:rFonts w:hint="eastAsia" w:ascii="仿宋_GB2312" w:eastAsia="仿宋_GB2312"/>
          <w:color w:val="auto"/>
          <w:sz w:val="32"/>
          <w:szCs w:val="32"/>
          <w:highlight w:val="none"/>
        </w:rPr>
        <w:t>根据财政快报显示，2022年政府性基金预算收入完成</w:t>
      </w:r>
      <w:r>
        <w:rPr>
          <w:rFonts w:hint="eastAsia" w:ascii="仿宋_GB2312" w:hAnsi="仿宋" w:eastAsia="仿宋_GB2312" w:cs="Times New Roman"/>
          <w:color w:val="auto"/>
          <w:kern w:val="2"/>
          <w:sz w:val="32"/>
          <w:szCs w:val="32"/>
          <w:highlight w:val="none"/>
          <w:lang w:val="en-US" w:eastAsia="zh-CN" w:bidi="ar-SA"/>
        </w:rPr>
        <w:t>150,360</w:t>
      </w:r>
      <w:r>
        <w:rPr>
          <w:rFonts w:hint="eastAsia" w:ascii="仿宋_GB2312" w:eastAsia="仿宋_GB2312"/>
          <w:color w:val="auto"/>
          <w:sz w:val="32"/>
          <w:szCs w:val="32"/>
          <w:highlight w:val="none"/>
        </w:rPr>
        <w:t>万元，为预算的</w:t>
      </w:r>
      <w:r>
        <w:rPr>
          <w:rFonts w:hint="eastAsia" w:ascii="仿宋_GB2312" w:hAnsi="仿宋" w:eastAsia="仿宋_GB2312" w:cs="Times New Roman"/>
          <w:color w:val="auto"/>
          <w:kern w:val="2"/>
          <w:sz w:val="32"/>
          <w:szCs w:val="32"/>
          <w:highlight w:val="none"/>
          <w:lang w:val="en-US" w:eastAsia="zh-CN" w:bidi="ar-SA"/>
        </w:rPr>
        <w:t>102.63%</w:t>
      </w:r>
      <w:r>
        <w:rPr>
          <w:rFonts w:hint="eastAsia" w:ascii="仿宋_GB2312" w:eastAsia="仿宋_GB2312"/>
          <w:color w:val="auto"/>
          <w:sz w:val="32"/>
          <w:szCs w:val="32"/>
          <w:highlight w:val="none"/>
        </w:rPr>
        <w:t>，比上年增收</w:t>
      </w:r>
      <w:r>
        <w:rPr>
          <w:rFonts w:hint="eastAsia" w:ascii="仿宋_GB2312" w:hAnsi="仿宋" w:eastAsia="仿宋_GB2312" w:cs="Times New Roman"/>
          <w:color w:val="auto"/>
          <w:kern w:val="2"/>
          <w:sz w:val="32"/>
          <w:szCs w:val="32"/>
          <w:highlight w:val="none"/>
          <w:lang w:val="en-US" w:eastAsia="zh-CN" w:bidi="ar-SA"/>
        </w:rPr>
        <w:t>10,617</w:t>
      </w:r>
      <w:r>
        <w:rPr>
          <w:rFonts w:hint="eastAsia" w:ascii="仿宋_GB2312" w:eastAsia="仿宋_GB2312"/>
          <w:color w:val="auto"/>
          <w:sz w:val="32"/>
          <w:szCs w:val="32"/>
          <w:highlight w:val="none"/>
        </w:rPr>
        <w:t>万元，增长</w:t>
      </w:r>
      <w:r>
        <w:rPr>
          <w:rFonts w:hint="eastAsia" w:ascii="仿宋_GB2312" w:hAnsi="仿宋" w:eastAsia="仿宋_GB2312" w:cs="Times New Roman"/>
          <w:color w:val="auto"/>
          <w:kern w:val="2"/>
          <w:sz w:val="32"/>
          <w:szCs w:val="32"/>
          <w:highlight w:val="none"/>
          <w:lang w:val="en-US" w:eastAsia="zh-CN" w:bidi="ar-SA"/>
        </w:rPr>
        <w:t>7.6%</w:t>
      </w:r>
      <w:r>
        <w:rPr>
          <w:rFonts w:hint="eastAsia" w:ascii="仿宋_GB2312" w:eastAsia="仿宋_GB2312"/>
          <w:color w:val="auto"/>
          <w:sz w:val="32"/>
          <w:szCs w:val="32"/>
          <w:highlight w:val="none"/>
        </w:rPr>
        <w:t>。政府性基金预算支出完</w:t>
      </w:r>
      <w:r>
        <w:rPr>
          <w:rFonts w:hint="eastAsia" w:ascii="仿宋" w:hAnsi="仿宋" w:eastAsia="仿宋" w:cs="仿宋"/>
          <w:color w:val="auto"/>
          <w:kern w:val="2"/>
          <w:sz w:val="32"/>
          <w:szCs w:val="32"/>
          <w:highlight w:val="none"/>
        </w:rPr>
        <w:t>成</w:t>
      </w:r>
      <w:r>
        <w:rPr>
          <w:rFonts w:hint="eastAsia" w:ascii="仿宋_GB2312" w:hAnsi="仿宋" w:eastAsia="仿宋_GB2312" w:cs="Times New Roman"/>
          <w:color w:val="auto"/>
          <w:kern w:val="2"/>
          <w:sz w:val="32"/>
          <w:szCs w:val="32"/>
          <w:highlight w:val="none"/>
          <w:lang w:val="en-US" w:eastAsia="zh-CN" w:bidi="ar-SA"/>
        </w:rPr>
        <w:t>178,904</w:t>
      </w:r>
      <w:r>
        <w:rPr>
          <w:rFonts w:hint="eastAsia" w:ascii="仿宋_GB2312" w:eastAsia="仿宋_GB2312"/>
          <w:color w:val="auto"/>
          <w:sz w:val="32"/>
          <w:szCs w:val="32"/>
          <w:highlight w:val="none"/>
        </w:rPr>
        <w:t>万元，比上年</w:t>
      </w:r>
      <w:r>
        <w:rPr>
          <w:rFonts w:hint="eastAsia" w:ascii="仿宋_GB2312" w:eastAsia="仿宋_GB2312"/>
          <w:color w:val="auto"/>
          <w:sz w:val="32"/>
          <w:szCs w:val="32"/>
          <w:highlight w:val="none"/>
          <w:lang w:eastAsia="zh-CN"/>
        </w:rPr>
        <w:t>减少</w:t>
      </w:r>
      <w:r>
        <w:rPr>
          <w:rFonts w:hint="eastAsia" w:ascii="仿宋_GB2312" w:hAnsi="仿宋" w:eastAsia="仿宋_GB2312" w:cs="Times New Roman"/>
          <w:color w:val="auto"/>
          <w:kern w:val="2"/>
          <w:sz w:val="32"/>
          <w:szCs w:val="32"/>
          <w:highlight w:val="none"/>
          <w:lang w:val="en-US" w:eastAsia="zh-CN" w:bidi="ar-SA"/>
        </w:rPr>
        <w:t>1,427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下降</w:t>
      </w:r>
      <w:r>
        <w:rPr>
          <w:rFonts w:hint="eastAsia" w:ascii="仿宋_GB2312" w:hAnsi="仿宋" w:eastAsia="仿宋_GB2312" w:cs="Times New Roman"/>
          <w:color w:val="auto"/>
          <w:kern w:val="2"/>
          <w:sz w:val="32"/>
          <w:szCs w:val="32"/>
          <w:highlight w:val="none"/>
          <w:lang w:val="en-US" w:eastAsia="zh-CN" w:bidi="ar-SA"/>
        </w:rPr>
        <w:t>0.79%</w:t>
      </w:r>
      <w:r>
        <w:rPr>
          <w:rFonts w:hint="eastAsia" w:ascii="仿宋_GB2312" w:eastAsia="仿宋_GB2312"/>
          <w:color w:val="auto"/>
          <w:sz w:val="32"/>
          <w:szCs w:val="32"/>
          <w:highlight w:val="none"/>
        </w:rPr>
        <w:t>。</w:t>
      </w:r>
    </w:p>
    <w:p>
      <w:pPr>
        <w:suppressAutoHyphens/>
        <w:spacing w:line="540" w:lineRule="exact"/>
        <w:ind w:firstLine="630" w:firstLineChars="196"/>
        <w:rPr>
          <w:rFonts w:ascii="仿宋_GB2312" w:eastAsia="仿宋_GB2312"/>
          <w:color w:val="auto"/>
          <w:sz w:val="32"/>
          <w:szCs w:val="32"/>
          <w:highlight w:val="none"/>
        </w:rPr>
      </w:pPr>
      <w:r>
        <w:rPr>
          <w:rFonts w:hint="eastAsia" w:ascii="仿宋_GB2312" w:eastAsia="仿宋_GB2312"/>
          <w:b/>
          <w:color w:val="auto"/>
          <w:sz w:val="32"/>
          <w:szCs w:val="32"/>
          <w:highlight w:val="none"/>
        </w:rPr>
        <w:t>政府性基金预算收支平衡情况：</w:t>
      </w:r>
      <w:r>
        <w:rPr>
          <w:rFonts w:hint="eastAsia" w:ascii="仿宋_GB2312" w:eastAsia="仿宋_GB2312"/>
          <w:color w:val="auto"/>
          <w:spacing w:val="-24"/>
          <w:sz w:val="32"/>
          <w:szCs w:val="32"/>
          <w:highlight w:val="none"/>
        </w:rPr>
        <w:t>政府性基金</w:t>
      </w:r>
      <w:r>
        <w:rPr>
          <w:rFonts w:hint="eastAsia" w:ascii="仿宋_GB2312" w:eastAsia="仿宋_GB2312"/>
          <w:color w:val="auto"/>
          <w:sz w:val="32"/>
          <w:szCs w:val="32"/>
          <w:highlight w:val="none"/>
        </w:rPr>
        <w:t>预算</w:t>
      </w:r>
      <w:r>
        <w:rPr>
          <w:rFonts w:hint="eastAsia" w:ascii="仿宋_GB2312" w:eastAsia="仿宋_GB2312"/>
          <w:color w:val="auto"/>
          <w:spacing w:val="-24"/>
          <w:sz w:val="32"/>
          <w:szCs w:val="32"/>
          <w:highlight w:val="none"/>
        </w:rPr>
        <w:t>收入</w:t>
      </w:r>
      <w:r>
        <w:rPr>
          <w:rFonts w:hint="eastAsia" w:ascii="仿宋_GB2312" w:hAnsi="仿宋" w:eastAsia="仿宋_GB2312" w:cs="Times New Roman"/>
          <w:color w:val="auto"/>
          <w:kern w:val="2"/>
          <w:sz w:val="32"/>
          <w:szCs w:val="32"/>
          <w:highlight w:val="none"/>
          <w:lang w:val="en-US" w:eastAsia="zh-CN" w:bidi="ar-SA"/>
        </w:rPr>
        <w:t>150,360</w:t>
      </w:r>
      <w:r>
        <w:rPr>
          <w:rFonts w:hint="eastAsia" w:ascii="仿宋_GB2312" w:eastAsia="仿宋_GB2312"/>
          <w:color w:val="auto"/>
          <w:sz w:val="32"/>
          <w:szCs w:val="32"/>
          <w:highlight w:val="none"/>
        </w:rPr>
        <w:t>万元，加上级补助收入</w:t>
      </w:r>
      <w:r>
        <w:rPr>
          <w:rFonts w:hint="eastAsia" w:ascii="仿宋_GB2312" w:hAnsi="仿宋" w:eastAsia="仿宋_GB2312" w:cs="Times New Roman"/>
          <w:color w:val="auto"/>
          <w:kern w:val="2"/>
          <w:sz w:val="32"/>
          <w:szCs w:val="32"/>
          <w:highlight w:val="none"/>
          <w:lang w:val="en-US" w:eastAsia="zh-CN" w:bidi="ar-SA"/>
        </w:rPr>
        <w:t>2,674</w:t>
      </w:r>
      <w:r>
        <w:rPr>
          <w:rFonts w:hint="eastAsia" w:ascii="仿宋_GB2312" w:eastAsia="仿宋_GB2312"/>
          <w:color w:val="auto"/>
          <w:sz w:val="32"/>
          <w:szCs w:val="32"/>
          <w:highlight w:val="none"/>
        </w:rPr>
        <w:t>万元，</w:t>
      </w:r>
      <w:r>
        <w:rPr>
          <w:rFonts w:hint="eastAsia" w:ascii="仿宋_GB2312" w:hAnsi="仿宋" w:eastAsia="仿宋_GB2312" w:cs="宋体"/>
          <w:color w:val="auto"/>
          <w:sz w:val="32"/>
          <w:szCs w:val="32"/>
          <w:highlight w:val="none"/>
        </w:rPr>
        <w:t>专项债务转贷收入</w:t>
      </w:r>
      <w:r>
        <w:rPr>
          <w:rFonts w:hint="eastAsia" w:ascii="仿宋_GB2312" w:hAnsi="仿宋" w:eastAsia="仿宋_GB2312" w:cs="Times New Roman"/>
          <w:color w:val="auto"/>
          <w:kern w:val="2"/>
          <w:sz w:val="32"/>
          <w:szCs w:val="32"/>
          <w:highlight w:val="none"/>
          <w:lang w:val="en-US" w:eastAsia="zh-CN" w:bidi="ar-SA"/>
        </w:rPr>
        <w:t>71,696</w:t>
      </w:r>
      <w:r>
        <w:rPr>
          <w:rFonts w:hint="eastAsia" w:ascii="仿宋_GB2312" w:eastAsia="仿宋_GB2312"/>
          <w:color w:val="auto"/>
          <w:sz w:val="32"/>
          <w:szCs w:val="32"/>
          <w:highlight w:val="none"/>
        </w:rPr>
        <w:t>万元，待偿债置换专项债券结余</w:t>
      </w:r>
      <w:r>
        <w:rPr>
          <w:rFonts w:hint="eastAsia" w:ascii="仿宋_GB2312" w:hAnsi="仿宋" w:eastAsia="仿宋_GB2312" w:cs="Times New Roman"/>
          <w:color w:val="auto"/>
          <w:kern w:val="2"/>
          <w:sz w:val="32"/>
          <w:szCs w:val="32"/>
          <w:highlight w:val="none"/>
          <w:lang w:val="en-US" w:eastAsia="zh-CN" w:bidi="ar-SA"/>
        </w:rPr>
        <w:t>41</w:t>
      </w:r>
      <w:r>
        <w:rPr>
          <w:rFonts w:hint="eastAsia" w:ascii="仿宋_GB2312" w:eastAsia="仿宋_GB2312"/>
          <w:color w:val="auto"/>
          <w:sz w:val="32"/>
          <w:szCs w:val="32"/>
          <w:highlight w:val="none"/>
        </w:rPr>
        <w:t>万元，上年</w:t>
      </w:r>
      <w:r>
        <w:rPr>
          <w:rFonts w:hint="eastAsia" w:ascii="仿宋_GB2312" w:eastAsia="仿宋_GB2312"/>
          <w:color w:val="auto"/>
          <w:sz w:val="32"/>
          <w:szCs w:val="32"/>
          <w:highlight w:val="none"/>
          <w:lang w:eastAsia="zh-CN"/>
        </w:rPr>
        <w:t>结转收入</w:t>
      </w:r>
      <w:r>
        <w:rPr>
          <w:rFonts w:hint="eastAsia" w:ascii="仿宋_GB2312" w:hAnsi="仿宋" w:eastAsia="仿宋_GB2312" w:cs="Times New Roman"/>
          <w:color w:val="auto"/>
          <w:kern w:val="2"/>
          <w:sz w:val="32"/>
          <w:szCs w:val="32"/>
          <w:highlight w:val="none"/>
          <w:lang w:val="en-US" w:eastAsia="zh-CN" w:bidi="ar-SA"/>
        </w:rPr>
        <w:t>4,769</w:t>
      </w:r>
      <w:r>
        <w:rPr>
          <w:rFonts w:hint="eastAsia" w:ascii="仿宋_GB2312" w:eastAsia="仿宋_GB2312"/>
          <w:color w:val="auto"/>
          <w:sz w:val="32"/>
          <w:szCs w:val="32"/>
          <w:highlight w:val="none"/>
        </w:rPr>
        <w:t>万元，收入总计</w:t>
      </w:r>
      <w:r>
        <w:rPr>
          <w:rFonts w:hint="eastAsia" w:ascii="仿宋_GB2312" w:hAnsi="仿宋" w:eastAsia="仿宋_GB2312" w:cs="Times New Roman"/>
          <w:color w:val="auto"/>
          <w:kern w:val="2"/>
          <w:sz w:val="32"/>
          <w:szCs w:val="32"/>
          <w:highlight w:val="none"/>
          <w:lang w:val="en-US" w:eastAsia="zh-CN" w:bidi="ar-SA"/>
        </w:rPr>
        <w:t>229,540</w:t>
      </w:r>
      <w:r>
        <w:rPr>
          <w:rFonts w:hint="eastAsia" w:ascii="仿宋_GB2312" w:eastAsia="仿宋_GB2312"/>
          <w:color w:val="auto"/>
          <w:sz w:val="32"/>
          <w:szCs w:val="32"/>
          <w:highlight w:val="none"/>
        </w:rPr>
        <w:t>万元。政府性基金预算支出</w:t>
      </w:r>
      <w:r>
        <w:rPr>
          <w:rFonts w:hint="eastAsia" w:ascii="仿宋_GB2312" w:hAnsi="仿宋" w:eastAsia="仿宋_GB2312" w:cs="Times New Roman"/>
          <w:color w:val="auto"/>
          <w:kern w:val="2"/>
          <w:sz w:val="32"/>
          <w:szCs w:val="32"/>
          <w:highlight w:val="none"/>
          <w:lang w:val="en-US" w:eastAsia="zh-CN" w:bidi="ar-SA"/>
        </w:rPr>
        <w:t>178,904</w:t>
      </w:r>
      <w:r>
        <w:rPr>
          <w:rFonts w:hint="eastAsia" w:ascii="仿宋_GB2312" w:eastAsia="仿宋_GB2312"/>
          <w:color w:val="auto"/>
          <w:sz w:val="32"/>
          <w:szCs w:val="32"/>
          <w:highlight w:val="none"/>
        </w:rPr>
        <w:t>万元</w:t>
      </w:r>
      <w:r>
        <w:rPr>
          <w:rFonts w:hint="eastAsia" w:ascii="仿宋_GB2312" w:eastAsia="仿宋_GB2312"/>
          <w:color w:val="auto"/>
          <w:spacing w:val="-6"/>
          <w:sz w:val="32"/>
          <w:szCs w:val="32"/>
          <w:highlight w:val="none"/>
        </w:rPr>
        <w:t>，专项债务还本支出</w:t>
      </w:r>
      <w:r>
        <w:rPr>
          <w:rFonts w:hint="eastAsia" w:ascii="仿宋_GB2312" w:hAnsi="仿宋" w:eastAsia="仿宋_GB2312" w:cs="Times New Roman"/>
          <w:color w:val="auto"/>
          <w:kern w:val="2"/>
          <w:sz w:val="32"/>
          <w:szCs w:val="32"/>
          <w:highlight w:val="none"/>
          <w:lang w:val="en-US" w:eastAsia="zh-CN" w:bidi="ar-SA"/>
        </w:rPr>
        <w:t>39,693</w:t>
      </w:r>
      <w:r>
        <w:rPr>
          <w:rFonts w:hint="eastAsia" w:ascii="仿宋_GB2312" w:eastAsia="仿宋_GB2312"/>
          <w:color w:val="auto"/>
          <w:spacing w:val="-6"/>
          <w:sz w:val="32"/>
          <w:szCs w:val="32"/>
          <w:highlight w:val="none"/>
        </w:rPr>
        <w:t>万元，待偿债置换专项债券结余</w:t>
      </w:r>
      <w:r>
        <w:rPr>
          <w:rFonts w:hint="eastAsia" w:ascii="仿宋_GB2312" w:hAnsi="仿宋" w:eastAsia="仿宋_GB2312" w:cs="Times New Roman"/>
          <w:color w:val="auto"/>
          <w:kern w:val="2"/>
          <w:sz w:val="32"/>
          <w:szCs w:val="32"/>
          <w:highlight w:val="none"/>
          <w:lang w:val="en-US" w:eastAsia="zh-CN" w:bidi="ar-SA"/>
        </w:rPr>
        <w:t>41</w:t>
      </w:r>
      <w:r>
        <w:rPr>
          <w:rFonts w:hint="eastAsia" w:ascii="仿宋_GB2312" w:eastAsia="仿宋_GB2312"/>
          <w:color w:val="auto"/>
          <w:spacing w:val="-6"/>
          <w:sz w:val="32"/>
          <w:szCs w:val="32"/>
          <w:highlight w:val="none"/>
        </w:rPr>
        <w:t>万元</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调出资金</w:t>
      </w:r>
      <w:r>
        <w:rPr>
          <w:rFonts w:hint="eastAsia" w:ascii="仿宋_GB2312" w:hAnsi="仿宋" w:eastAsia="仿宋_GB2312" w:cs="Times New Roman"/>
          <w:color w:val="auto"/>
          <w:kern w:val="2"/>
          <w:sz w:val="32"/>
          <w:szCs w:val="32"/>
          <w:highlight w:val="none"/>
          <w:lang w:val="en-US" w:eastAsia="zh-CN" w:bidi="ar-SA"/>
        </w:rPr>
        <w:t>1,500</w:t>
      </w:r>
      <w:r>
        <w:rPr>
          <w:rFonts w:hint="eastAsia" w:ascii="仿宋_GB2312" w:eastAsia="仿宋_GB2312"/>
          <w:color w:val="auto"/>
          <w:sz w:val="32"/>
          <w:szCs w:val="32"/>
          <w:highlight w:val="none"/>
          <w:lang w:eastAsia="zh-CN"/>
        </w:rPr>
        <w:t>万元，结转下年支出</w:t>
      </w:r>
      <w:r>
        <w:rPr>
          <w:rFonts w:hint="eastAsia" w:ascii="仿宋_GB2312" w:hAnsi="仿宋" w:eastAsia="仿宋_GB2312" w:cs="Times New Roman"/>
          <w:color w:val="auto"/>
          <w:kern w:val="2"/>
          <w:sz w:val="32"/>
          <w:szCs w:val="32"/>
          <w:highlight w:val="none"/>
          <w:lang w:val="en-US" w:eastAsia="zh-CN" w:bidi="ar-SA"/>
        </w:rPr>
        <w:t>9,402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rPr>
        <w:t>支出总计</w:t>
      </w:r>
      <w:r>
        <w:rPr>
          <w:rFonts w:hint="eastAsia" w:ascii="仿宋_GB2312" w:hAnsi="仿宋" w:eastAsia="仿宋_GB2312" w:cs="Times New Roman"/>
          <w:color w:val="auto"/>
          <w:kern w:val="2"/>
          <w:sz w:val="32"/>
          <w:szCs w:val="32"/>
          <w:highlight w:val="none"/>
          <w:lang w:val="en-US" w:eastAsia="zh-CN" w:bidi="ar-SA"/>
        </w:rPr>
        <w:t>229,540</w:t>
      </w:r>
      <w:r>
        <w:rPr>
          <w:rFonts w:hint="eastAsia" w:ascii="仿宋_GB2312" w:eastAsia="仿宋_GB2312"/>
          <w:color w:val="auto"/>
          <w:sz w:val="32"/>
          <w:szCs w:val="32"/>
          <w:highlight w:val="none"/>
        </w:rPr>
        <w:t>万元。收支平衡。</w:t>
      </w:r>
    </w:p>
    <w:p>
      <w:pPr>
        <w:pStyle w:val="6"/>
        <w:widowControl w:val="0"/>
        <w:suppressAutoHyphens/>
        <w:spacing w:before="0" w:beforeAutospacing="0" w:after="0" w:afterAutospacing="0" w:line="540" w:lineRule="exact"/>
        <w:ind w:firstLine="643" w:firstLineChars="200"/>
        <w:rPr>
          <w:rStyle w:val="9"/>
          <w:rFonts w:ascii="仿宋_GB2312" w:eastAsia="仿宋_GB2312"/>
          <w:color w:val="auto"/>
          <w:sz w:val="32"/>
          <w:szCs w:val="32"/>
          <w:highlight w:val="none"/>
        </w:rPr>
      </w:pPr>
      <w:r>
        <w:rPr>
          <w:rStyle w:val="9"/>
          <w:rFonts w:hint="eastAsia" w:ascii="仿宋_GB2312" w:eastAsia="仿宋_GB2312"/>
          <w:color w:val="auto"/>
          <w:sz w:val="32"/>
          <w:szCs w:val="32"/>
          <w:highlight w:val="none"/>
        </w:rPr>
        <w:t>4.社会保险基金预算执行情况</w:t>
      </w:r>
    </w:p>
    <w:p>
      <w:pPr>
        <w:suppressAutoHyphens/>
        <w:spacing w:line="540" w:lineRule="exact"/>
        <w:ind w:firstLine="640" w:firstLineChars="200"/>
        <w:rPr>
          <w:rFonts w:ascii="仿宋_GB2312" w:eastAsia="仿宋_GB2312" w:cs="宋体"/>
          <w:color w:val="auto"/>
          <w:kern w:val="0"/>
          <w:sz w:val="32"/>
          <w:szCs w:val="32"/>
          <w:highlight w:val="none"/>
          <w:lang w:val="zh-CN"/>
        </w:rPr>
      </w:pPr>
      <w:r>
        <w:rPr>
          <w:rFonts w:hint="eastAsia" w:ascii="仿宋_GB2312" w:eastAsia="仿宋_GB2312"/>
          <w:color w:val="auto"/>
          <w:sz w:val="32"/>
          <w:szCs w:val="32"/>
          <w:highlight w:val="none"/>
        </w:rPr>
        <w:t>根据社保部门数据显示，2022年社会保险基金预算收入完成</w:t>
      </w:r>
      <w:r>
        <w:rPr>
          <w:rFonts w:hint="eastAsia" w:ascii="仿宋_GB2312" w:hAnsi="仿宋" w:eastAsia="仿宋_GB2312" w:cs="Times New Roman"/>
          <w:color w:val="auto"/>
          <w:kern w:val="2"/>
          <w:sz w:val="32"/>
          <w:szCs w:val="32"/>
          <w:highlight w:val="none"/>
          <w:lang w:val="en-US" w:eastAsia="zh-CN" w:bidi="ar-SA"/>
        </w:rPr>
        <w:t>29,386</w:t>
      </w:r>
      <w:r>
        <w:rPr>
          <w:rFonts w:hint="eastAsia" w:ascii="仿宋_GB2312" w:eastAsia="仿宋_GB2312"/>
          <w:color w:val="auto"/>
          <w:sz w:val="32"/>
          <w:szCs w:val="32"/>
          <w:highlight w:val="none"/>
        </w:rPr>
        <w:t>万元，为预算的</w:t>
      </w:r>
      <w:r>
        <w:rPr>
          <w:rFonts w:hint="eastAsia" w:ascii="仿宋_GB2312" w:hAnsi="仿宋" w:eastAsia="仿宋_GB2312" w:cs="Times New Roman"/>
          <w:color w:val="auto"/>
          <w:kern w:val="2"/>
          <w:sz w:val="32"/>
          <w:szCs w:val="32"/>
          <w:highlight w:val="none"/>
          <w:lang w:val="en-US" w:eastAsia="zh-CN" w:bidi="ar-SA"/>
        </w:rPr>
        <w:t>98.01%</w:t>
      </w:r>
      <w:r>
        <w:rPr>
          <w:rFonts w:hint="eastAsia" w:ascii="仿宋" w:hAnsi="仿宋" w:eastAsia="仿宋" w:cs="仿宋"/>
          <w:color w:val="auto"/>
          <w:sz w:val="32"/>
          <w:szCs w:val="32"/>
          <w:highlight w:val="none"/>
        </w:rPr>
        <w:t>，</w:t>
      </w:r>
      <w:r>
        <w:rPr>
          <w:rFonts w:hint="eastAsia" w:ascii="仿宋_GB2312" w:eastAsia="仿宋_GB2312"/>
          <w:color w:val="auto"/>
          <w:sz w:val="32"/>
          <w:szCs w:val="32"/>
          <w:highlight w:val="none"/>
        </w:rPr>
        <w:t>减收</w:t>
      </w:r>
      <w:r>
        <w:rPr>
          <w:rFonts w:hint="eastAsia" w:ascii="仿宋_GB2312" w:hAnsi="仿宋" w:eastAsia="仿宋_GB2312" w:cs="Times New Roman"/>
          <w:color w:val="auto"/>
          <w:kern w:val="2"/>
          <w:sz w:val="32"/>
          <w:szCs w:val="32"/>
          <w:highlight w:val="none"/>
          <w:lang w:val="en-US" w:eastAsia="zh-CN" w:bidi="ar-SA"/>
        </w:rPr>
        <w:t>6,478</w:t>
      </w:r>
      <w:r>
        <w:rPr>
          <w:rFonts w:hint="eastAsia" w:ascii="仿宋_GB2312" w:eastAsia="仿宋_GB2312"/>
          <w:color w:val="auto"/>
          <w:sz w:val="32"/>
          <w:szCs w:val="32"/>
          <w:highlight w:val="none"/>
        </w:rPr>
        <w:t>万元，下降</w:t>
      </w:r>
      <w:r>
        <w:rPr>
          <w:rFonts w:hint="eastAsia" w:ascii="仿宋_GB2312" w:hAnsi="仿宋" w:eastAsia="仿宋_GB2312" w:cs="Times New Roman"/>
          <w:color w:val="auto"/>
          <w:kern w:val="2"/>
          <w:sz w:val="32"/>
          <w:szCs w:val="32"/>
          <w:highlight w:val="none"/>
          <w:lang w:val="en-US" w:eastAsia="zh-CN" w:bidi="ar-SA"/>
        </w:rPr>
        <w:t>18.06%</w:t>
      </w:r>
      <w:r>
        <w:rPr>
          <w:rFonts w:hint="eastAsia" w:ascii="仿宋_GB2312" w:eastAsia="仿宋_GB2312"/>
          <w:color w:val="auto"/>
          <w:sz w:val="32"/>
          <w:szCs w:val="32"/>
          <w:highlight w:val="none"/>
        </w:rPr>
        <w:t>。社会保险基金预算支出完成</w:t>
      </w:r>
      <w:r>
        <w:rPr>
          <w:rFonts w:hint="eastAsia" w:ascii="仿宋_GB2312" w:hAnsi="仿宋" w:eastAsia="仿宋_GB2312" w:cs="Times New Roman"/>
          <w:color w:val="auto"/>
          <w:kern w:val="2"/>
          <w:sz w:val="32"/>
          <w:szCs w:val="32"/>
          <w:highlight w:val="none"/>
          <w:lang w:val="en-US" w:eastAsia="zh-CN" w:bidi="ar-SA"/>
        </w:rPr>
        <w:t>43,298</w:t>
      </w:r>
      <w:r>
        <w:rPr>
          <w:rFonts w:hint="eastAsia" w:ascii="仿宋_GB2312" w:eastAsia="仿宋_GB2312"/>
          <w:color w:val="auto"/>
          <w:sz w:val="32"/>
          <w:szCs w:val="32"/>
          <w:highlight w:val="none"/>
        </w:rPr>
        <w:t>万元（含上解市级</w:t>
      </w:r>
      <w:r>
        <w:rPr>
          <w:rFonts w:hint="eastAsia" w:ascii="仿宋_GB2312" w:hAnsi="仿宋" w:eastAsia="仿宋_GB2312" w:cs="Times New Roman"/>
          <w:color w:val="auto"/>
          <w:kern w:val="2"/>
          <w:sz w:val="32"/>
          <w:szCs w:val="32"/>
          <w:highlight w:val="none"/>
          <w:lang w:val="en-US" w:eastAsia="zh-CN" w:bidi="ar-SA"/>
        </w:rPr>
        <w:t>15,588</w:t>
      </w:r>
      <w:r>
        <w:rPr>
          <w:rFonts w:hint="eastAsia" w:ascii="仿宋_GB2312" w:eastAsia="仿宋_GB2312"/>
          <w:color w:val="auto"/>
          <w:sz w:val="32"/>
          <w:szCs w:val="32"/>
          <w:highlight w:val="none"/>
        </w:rPr>
        <w:t>万元），比上年增支</w:t>
      </w:r>
      <w:r>
        <w:rPr>
          <w:rFonts w:hint="eastAsia" w:ascii="仿宋_GB2312" w:hAnsi="仿宋" w:eastAsia="仿宋_GB2312" w:cs="Times New Roman"/>
          <w:color w:val="auto"/>
          <w:kern w:val="2"/>
          <w:sz w:val="32"/>
          <w:szCs w:val="32"/>
          <w:highlight w:val="none"/>
          <w:lang w:val="en-US" w:eastAsia="zh-CN" w:bidi="ar-SA"/>
        </w:rPr>
        <w:t>11,764</w:t>
      </w:r>
      <w:r>
        <w:rPr>
          <w:rFonts w:hint="eastAsia" w:ascii="仿宋_GB2312" w:eastAsia="仿宋_GB2312"/>
          <w:color w:val="auto"/>
          <w:sz w:val="32"/>
          <w:szCs w:val="32"/>
          <w:highlight w:val="none"/>
        </w:rPr>
        <w:t>万元，增长</w:t>
      </w:r>
      <w:r>
        <w:rPr>
          <w:rFonts w:hint="eastAsia" w:ascii="仿宋_GB2312" w:hAnsi="仿宋" w:eastAsia="仿宋_GB2312" w:cs="Times New Roman"/>
          <w:color w:val="auto"/>
          <w:kern w:val="2"/>
          <w:sz w:val="32"/>
          <w:szCs w:val="32"/>
          <w:highlight w:val="none"/>
          <w:lang w:val="en-US" w:eastAsia="zh-CN" w:bidi="ar-SA"/>
        </w:rPr>
        <w:t>37.31%</w:t>
      </w:r>
      <w:r>
        <w:rPr>
          <w:rFonts w:hint="eastAsia" w:ascii="仿宋_GB2312" w:eastAsia="仿宋_GB2312"/>
          <w:color w:val="auto"/>
          <w:sz w:val="32"/>
          <w:szCs w:val="32"/>
          <w:highlight w:val="none"/>
        </w:rPr>
        <w:t>。社会保险基金预算当年收支结余</w:t>
      </w:r>
      <w:r>
        <w:rPr>
          <w:rFonts w:hint="eastAsia" w:ascii="仿宋_GB2312" w:hAnsi="仿宋" w:eastAsia="仿宋_GB2312" w:cs="Times New Roman"/>
          <w:color w:val="auto"/>
          <w:kern w:val="2"/>
          <w:sz w:val="32"/>
          <w:szCs w:val="32"/>
          <w:highlight w:val="none"/>
          <w:lang w:val="en-US" w:eastAsia="zh-CN" w:bidi="ar-SA"/>
        </w:rPr>
        <w:t>-13,912</w:t>
      </w:r>
      <w:r>
        <w:rPr>
          <w:rFonts w:hint="eastAsia" w:ascii="仿宋_GB2312" w:eastAsia="仿宋_GB2312"/>
          <w:color w:val="auto"/>
          <w:sz w:val="32"/>
          <w:szCs w:val="32"/>
          <w:highlight w:val="none"/>
        </w:rPr>
        <w:t>万元，</w:t>
      </w:r>
      <w:r>
        <w:rPr>
          <w:rFonts w:hint="eastAsia" w:ascii="仿宋_GB2312" w:eastAsia="仿宋_GB2312" w:cs="宋体"/>
          <w:color w:val="auto"/>
          <w:kern w:val="0"/>
          <w:sz w:val="32"/>
          <w:szCs w:val="32"/>
          <w:highlight w:val="none"/>
          <w:lang w:val="zh-CN"/>
        </w:rPr>
        <w:t>加上年滚存结余</w:t>
      </w:r>
      <w:r>
        <w:rPr>
          <w:rFonts w:hint="eastAsia" w:ascii="仿宋_GB2312" w:hAnsi="仿宋" w:eastAsia="仿宋_GB2312" w:cs="Times New Roman"/>
          <w:color w:val="auto"/>
          <w:kern w:val="2"/>
          <w:sz w:val="32"/>
          <w:szCs w:val="32"/>
          <w:highlight w:val="none"/>
          <w:lang w:val="zh-CN" w:eastAsia="zh-CN" w:bidi="ar-SA"/>
        </w:rPr>
        <w:t>21,211</w:t>
      </w:r>
      <w:r>
        <w:rPr>
          <w:rFonts w:hint="eastAsia" w:ascii="仿宋_GB2312" w:eastAsia="仿宋_GB2312" w:cs="宋体"/>
          <w:color w:val="auto"/>
          <w:kern w:val="0"/>
          <w:sz w:val="32"/>
          <w:szCs w:val="32"/>
          <w:highlight w:val="none"/>
          <w:lang w:val="zh-CN"/>
        </w:rPr>
        <w:t>万元，年末滚存结余</w:t>
      </w:r>
      <w:r>
        <w:rPr>
          <w:rFonts w:hint="eastAsia" w:ascii="仿宋_GB2312" w:hAnsi="仿宋" w:eastAsia="仿宋_GB2312" w:cs="Times New Roman"/>
          <w:color w:val="auto"/>
          <w:kern w:val="2"/>
          <w:sz w:val="32"/>
          <w:szCs w:val="32"/>
          <w:highlight w:val="none"/>
          <w:lang w:val="en-US" w:eastAsia="zh-CN" w:bidi="ar-SA"/>
        </w:rPr>
        <w:t>7,299</w:t>
      </w:r>
      <w:r>
        <w:rPr>
          <w:rFonts w:hint="eastAsia" w:ascii="仿宋_GB2312" w:eastAsia="仿宋_GB2312" w:cs="宋体"/>
          <w:color w:val="auto"/>
          <w:kern w:val="0"/>
          <w:sz w:val="32"/>
          <w:szCs w:val="32"/>
          <w:highlight w:val="none"/>
          <w:lang w:val="zh-CN"/>
        </w:rPr>
        <w:t>万元。</w:t>
      </w:r>
      <w:r>
        <w:rPr>
          <w:rFonts w:hint="eastAsia" w:ascii="仿宋_GB2312" w:eastAsia="仿宋_GB2312"/>
          <w:color w:val="auto"/>
          <w:sz w:val="32"/>
          <w:szCs w:val="32"/>
          <w:highlight w:val="none"/>
        </w:rPr>
        <w:t>增减变动较大主要原因是从2022年5月起城乡居民基本养老保险基金上划市级统筹，导致收入降幅加大。同时，上划市级统筹后需将</w:t>
      </w:r>
      <w:r>
        <w:rPr>
          <w:rFonts w:hint="eastAsia" w:ascii="仿宋_GB2312" w:eastAsia="仿宋_GB2312"/>
          <w:color w:val="auto"/>
          <w:sz w:val="32"/>
          <w:szCs w:val="32"/>
          <w:highlight w:val="none"/>
          <w:lang w:eastAsia="zh-CN"/>
        </w:rPr>
        <w:t>部分</w:t>
      </w:r>
      <w:r>
        <w:rPr>
          <w:rFonts w:hint="eastAsia" w:ascii="仿宋_GB2312" w:eastAsia="仿宋_GB2312"/>
          <w:color w:val="auto"/>
          <w:sz w:val="32"/>
          <w:szCs w:val="32"/>
          <w:highlight w:val="none"/>
        </w:rPr>
        <w:t>历年城乡居民基本养老保险基金滚存结余上解市级，导致支出增幅较大。</w:t>
      </w:r>
    </w:p>
    <w:p>
      <w:pPr>
        <w:suppressAutoHyphens/>
        <w:spacing w:line="540" w:lineRule="exact"/>
        <w:ind w:firstLine="643" w:firstLineChars="200"/>
        <w:rPr>
          <w:rStyle w:val="9"/>
          <w:rFonts w:ascii="仿宋_GB2312" w:hAnsi="宋体" w:eastAsia="仿宋_GB2312"/>
          <w:color w:val="auto"/>
          <w:kern w:val="0"/>
          <w:sz w:val="32"/>
          <w:szCs w:val="32"/>
          <w:highlight w:val="none"/>
        </w:rPr>
      </w:pPr>
      <w:r>
        <w:rPr>
          <w:rStyle w:val="9"/>
          <w:rFonts w:hint="eastAsia" w:ascii="仿宋_GB2312" w:hAnsi="宋体" w:eastAsia="仿宋_GB2312"/>
          <w:color w:val="auto"/>
          <w:kern w:val="0"/>
          <w:sz w:val="32"/>
          <w:szCs w:val="32"/>
          <w:highlight w:val="none"/>
        </w:rPr>
        <w:t>5.国有资本经营预算执行情况</w:t>
      </w:r>
    </w:p>
    <w:p>
      <w:pPr>
        <w:suppressAutoHyphens/>
        <w:spacing w:line="540" w:lineRule="exact"/>
        <w:ind w:firstLine="627" w:firstLineChars="196"/>
        <w:rPr>
          <w:rFonts w:ascii="仿宋_GB2312" w:eastAsia="仿宋_GB2312"/>
          <w:color w:val="auto"/>
          <w:sz w:val="32"/>
          <w:szCs w:val="32"/>
          <w:highlight w:val="none"/>
        </w:rPr>
      </w:pPr>
      <w:r>
        <w:rPr>
          <w:rFonts w:hint="eastAsia" w:ascii="仿宋_GB2312" w:eastAsia="仿宋_GB2312"/>
          <w:color w:val="auto"/>
          <w:sz w:val="32"/>
          <w:szCs w:val="32"/>
          <w:highlight w:val="none"/>
        </w:rPr>
        <w:t>根据财政快报显示，2022年国有资本经营预算收入完成</w:t>
      </w:r>
      <w:r>
        <w:rPr>
          <w:rFonts w:hint="eastAsia" w:ascii="仿宋_GB2312" w:hAnsi="仿宋" w:eastAsia="仿宋_GB2312" w:cs="Times New Roman"/>
          <w:color w:val="auto"/>
          <w:kern w:val="2"/>
          <w:sz w:val="32"/>
          <w:szCs w:val="32"/>
          <w:highlight w:val="none"/>
          <w:lang w:val="en-US" w:eastAsia="zh-CN" w:bidi="ar-SA"/>
        </w:rPr>
        <w:t>300</w:t>
      </w:r>
      <w:r>
        <w:rPr>
          <w:rFonts w:hint="eastAsia" w:ascii="仿宋_GB2312" w:eastAsia="仿宋_GB2312"/>
          <w:color w:val="auto"/>
          <w:sz w:val="32"/>
          <w:szCs w:val="32"/>
          <w:highlight w:val="none"/>
        </w:rPr>
        <w:t>万元，为预算的</w:t>
      </w:r>
      <w:r>
        <w:rPr>
          <w:rFonts w:hint="eastAsia" w:ascii="仿宋_GB2312" w:hAnsi="仿宋" w:eastAsia="仿宋_GB2312" w:cs="Times New Roman"/>
          <w:color w:val="auto"/>
          <w:kern w:val="2"/>
          <w:sz w:val="32"/>
          <w:szCs w:val="32"/>
          <w:highlight w:val="none"/>
          <w:lang w:val="en-US" w:eastAsia="zh-CN" w:bidi="ar-SA"/>
        </w:rPr>
        <w:t>100%</w:t>
      </w:r>
      <w:r>
        <w:rPr>
          <w:rFonts w:hint="eastAsia" w:ascii="仿宋_GB2312" w:eastAsia="仿宋_GB2312"/>
          <w:color w:val="auto"/>
          <w:sz w:val="32"/>
          <w:szCs w:val="32"/>
          <w:highlight w:val="none"/>
        </w:rPr>
        <w:t>，比上年增收</w:t>
      </w:r>
      <w:r>
        <w:rPr>
          <w:rFonts w:hint="eastAsia" w:ascii="仿宋_GB2312" w:hAnsi="仿宋" w:eastAsia="仿宋_GB2312" w:cs="Times New Roman"/>
          <w:color w:val="auto"/>
          <w:kern w:val="2"/>
          <w:sz w:val="32"/>
          <w:szCs w:val="32"/>
          <w:highlight w:val="none"/>
          <w:lang w:val="en-US" w:eastAsia="zh-CN" w:bidi="ar-SA"/>
        </w:rPr>
        <w:t>175</w:t>
      </w:r>
      <w:r>
        <w:rPr>
          <w:rFonts w:hint="eastAsia" w:ascii="仿宋_GB2312" w:eastAsia="仿宋_GB2312"/>
          <w:color w:val="auto"/>
          <w:sz w:val="32"/>
          <w:szCs w:val="32"/>
          <w:highlight w:val="none"/>
        </w:rPr>
        <w:t>万元，增长</w:t>
      </w:r>
      <w:r>
        <w:rPr>
          <w:rFonts w:hint="eastAsia" w:ascii="仿宋_GB2312" w:hAnsi="仿宋" w:eastAsia="仿宋_GB2312" w:cs="Times New Roman"/>
          <w:color w:val="auto"/>
          <w:kern w:val="2"/>
          <w:sz w:val="32"/>
          <w:szCs w:val="32"/>
          <w:highlight w:val="none"/>
          <w:lang w:val="en-US" w:eastAsia="zh-CN" w:bidi="ar-SA"/>
        </w:rPr>
        <w:t>140%</w:t>
      </w:r>
      <w:r>
        <w:rPr>
          <w:rFonts w:hint="eastAsia" w:ascii="仿宋_GB2312" w:eastAsia="仿宋_GB2312"/>
          <w:color w:val="auto"/>
          <w:sz w:val="32"/>
          <w:szCs w:val="32"/>
          <w:highlight w:val="none"/>
        </w:rPr>
        <w:t>。国有资本经营预算支出完成</w:t>
      </w:r>
      <w:r>
        <w:rPr>
          <w:rFonts w:hint="eastAsia" w:ascii="仿宋_GB2312" w:hAnsi="仿宋" w:eastAsia="仿宋_GB2312" w:cs="Times New Roman"/>
          <w:color w:val="auto"/>
          <w:kern w:val="2"/>
          <w:sz w:val="32"/>
          <w:szCs w:val="32"/>
          <w:highlight w:val="none"/>
          <w:lang w:val="en-US" w:eastAsia="zh-CN" w:bidi="ar-SA"/>
        </w:rPr>
        <w:t>25.7</w:t>
      </w:r>
      <w:r>
        <w:rPr>
          <w:rFonts w:hint="eastAsia" w:ascii="仿宋_GB2312" w:eastAsia="仿宋_GB2312"/>
          <w:color w:val="auto"/>
          <w:sz w:val="32"/>
          <w:szCs w:val="32"/>
          <w:highlight w:val="none"/>
        </w:rPr>
        <w:t>万元，比上年增支</w:t>
      </w:r>
      <w:r>
        <w:rPr>
          <w:rFonts w:hint="eastAsia" w:ascii="仿宋_GB2312" w:hAnsi="仿宋" w:eastAsia="仿宋_GB2312" w:cs="Times New Roman"/>
          <w:color w:val="auto"/>
          <w:kern w:val="2"/>
          <w:sz w:val="32"/>
          <w:szCs w:val="32"/>
          <w:highlight w:val="none"/>
          <w:lang w:val="en-US" w:eastAsia="zh-CN" w:bidi="ar-SA"/>
        </w:rPr>
        <w:t>21.7</w:t>
      </w:r>
      <w:r>
        <w:rPr>
          <w:rFonts w:hint="eastAsia" w:ascii="仿宋_GB2312" w:eastAsia="仿宋_GB2312"/>
          <w:color w:val="auto"/>
          <w:sz w:val="32"/>
          <w:szCs w:val="32"/>
          <w:highlight w:val="none"/>
        </w:rPr>
        <w:t>万元，增长</w:t>
      </w:r>
      <w:r>
        <w:rPr>
          <w:rFonts w:hint="eastAsia" w:ascii="仿宋_GB2312" w:hAnsi="仿宋" w:eastAsia="仿宋_GB2312" w:cs="Times New Roman"/>
          <w:color w:val="auto"/>
          <w:kern w:val="2"/>
          <w:sz w:val="32"/>
          <w:szCs w:val="32"/>
          <w:highlight w:val="none"/>
          <w:lang w:val="en-US" w:eastAsia="zh-CN" w:bidi="ar-SA"/>
        </w:rPr>
        <w:t>542.5%</w:t>
      </w:r>
      <w:r>
        <w:rPr>
          <w:rFonts w:hint="eastAsia" w:ascii="仿宋_GB2312" w:eastAsia="仿宋_GB2312"/>
          <w:color w:val="auto"/>
          <w:sz w:val="32"/>
          <w:szCs w:val="32"/>
          <w:highlight w:val="none"/>
        </w:rPr>
        <w:t>（主要原因是上年结转资金和当年增加补助在本年实际支出）。</w:t>
      </w:r>
    </w:p>
    <w:p>
      <w:pPr>
        <w:suppressAutoHyphens/>
        <w:spacing w:line="540" w:lineRule="exact"/>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国有资本经营预算收支平衡情况：</w:t>
      </w:r>
      <w:r>
        <w:rPr>
          <w:rFonts w:hint="eastAsia" w:ascii="仿宋_GB2312" w:eastAsia="仿宋_GB2312"/>
          <w:color w:val="auto"/>
          <w:sz w:val="32"/>
          <w:szCs w:val="32"/>
          <w:highlight w:val="none"/>
        </w:rPr>
        <w:t>国有资本经营预算收入</w:t>
      </w:r>
      <w:r>
        <w:rPr>
          <w:rFonts w:hint="eastAsia" w:ascii="仿宋_GB2312" w:hAnsi="仿宋" w:eastAsia="仿宋_GB2312" w:cs="Times New Roman"/>
          <w:color w:val="auto"/>
          <w:kern w:val="2"/>
          <w:sz w:val="32"/>
          <w:szCs w:val="32"/>
          <w:highlight w:val="none"/>
          <w:lang w:val="en-US" w:eastAsia="zh-CN" w:bidi="ar-SA"/>
        </w:rPr>
        <w:t>300</w:t>
      </w:r>
      <w:r>
        <w:rPr>
          <w:rFonts w:hint="eastAsia" w:ascii="仿宋_GB2312" w:eastAsia="仿宋_GB2312"/>
          <w:color w:val="auto"/>
          <w:sz w:val="32"/>
          <w:szCs w:val="32"/>
          <w:highlight w:val="none"/>
        </w:rPr>
        <w:t>万元，加上级补助收入</w:t>
      </w:r>
      <w:r>
        <w:rPr>
          <w:rFonts w:hint="eastAsia" w:ascii="仿宋_GB2312" w:hAnsi="仿宋" w:eastAsia="仿宋_GB2312" w:cs="Times New Roman"/>
          <w:color w:val="auto"/>
          <w:kern w:val="2"/>
          <w:sz w:val="32"/>
          <w:szCs w:val="32"/>
          <w:highlight w:val="none"/>
          <w:lang w:val="en-US" w:eastAsia="zh-CN" w:bidi="ar-SA"/>
        </w:rPr>
        <w:t>10.4</w:t>
      </w:r>
      <w:r>
        <w:rPr>
          <w:rFonts w:hint="eastAsia" w:ascii="仿宋_GB2312" w:eastAsia="仿宋_GB2312"/>
          <w:color w:val="auto"/>
          <w:sz w:val="32"/>
          <w:szCs w:val="32"/>
          <w:highlight w:val="none"/>
        </w:rPr>
        <w:t>万元，上年</w:t>
      </w:r>
      <w:r>
        <w:rPr>
          <w:rFonts w:hint="eastAsia" w:ascii="仿宋_GB2312" w:eastAsia="仿宋_GB2312"/>
          <w:color w:val="auto"/>
          <w:sz w:val="32"/>
          <w:szCs w:val="32"/>
          <w:highlight w:val="none"/>
          <w:lang w:eastAsia="zh-CN"/>
        </w:rPr>
        <w:t>结</w:t>
      </w:r>
      <w:r>
        <w:rPr>
          <w:rFonts w:hint="eastAsia" w:ascii="仿宋_GB2312" w:hAnsi="仿宋" w:eastAsia="仿宋_GB2312"/>
          <w:color w:val="auto"/>
          <w:sz w:val="32"/>
          <w:szCs w:val="32"/>
          <w:highlight w:val="none"/>
          <w:lang w:eastAsia="zh-CN"/>
        </w:rPr>
        <w:t>转收入</w:t>
      </w:r>
      <w:r>
        <w:rPr>
          <w:rFonts w:hint="eastAsia" w:ascii="仿宋_GB2312" w:hAnsi="仿宋" w:eastAsia="仿宋_GB2312" w:cs="Times New Roman"/>
          <w:color w:val="auto"/>
          <w:kern w:val="2"/>
          <w:sz w:val="32"/>
          <w:szCs w:val="32"/>
          <w:highlight w:val="none"/>
          <w:lang w:val="en-US" w:eastAsia="zh-CN" w:bidi="ar-SA"/>
        </w:rPr>
        <w:t>15.3</w:t>
      </w:r>
      <w:r>
        <w:rPr>
          <w:rFonts w:hint="eastAsia" w:ascii="仿宋_GB2312" w:eastAsia="仿宋_GB2312"/>
          <w:color w:val="auto"/>
          <w:sz w:val="32"/>
          <w:szCs w:val="32"/>
          <w:highlight w:val="none"/>
        </w:rPr>
        <w:t>万元，收入总计</w:t>
      </w:r>
      <w:r>
        <w:rPr>
          <w:rFonts w:hint="eastAsia" w:ascii="仿宋_GB2312" w:hAnsi="仿宋" w:eastAsia="仿宋_GB2312" w:cs="Times New Roman"/>
          <w:color w:val="auto"/>
          <w:kern w:val="2"/>
          <w:sz w:val="32"/>
          <w:szCs w:val="32"/>
          <w:highlight w:val="none"/>
          <w:lang w:val="en-US" w:eastAsia="zh-CN" w:bidi="ar-SA"/>
        </w:rPr>
        <w:t>325.7</w:t>
      </w:r>
      <w:r>
        <w:rPr>
          <w:rFonts w:hint="eastAsia" w:ascii="仿宋_GB2312" w:eastAsia="仿宋_GB2312"/>
          <w:color w:val="auto"/>
          <w:sz w:val="32"/>
          <w:szCs w:val="32"/>
          <w:highlight w:val="none"/>
        </w:rPr>
        <w:t>万元。国有资本经营预算支出</w:t>
      </w:r>
      <w:r>
        <w:rPr>
          <w:rFonts w:hint="eastAsia" w:ascii="仿宋_GB2312" w:hAnsi="仿宋" w:eastAsia="仿宋_GB2312" w:cs="Times New Roman"/>
          <w:color w:val="auto"/>
          <w:kern w:val="2"/>
          <w:sz w:val="32"/>
          <w:szCs w:val="32"/>
          <w:highlight w:val="none"/>
          <w:lang w:val="en-US" w:eastAsia="zh-CN" w:bidi="ar-SA"/>
        </w:rPr>
        <w:t>25.7</w:t>
      </w:r>
      <w:r>
        <w:rPr>
          <w:rFonts w:hint="eastAsia" w:ascii="仿宋_GB2312" w:eastAsia="仿宋_GB2312"/>
          <w:color w:val="auto"/>
          <w:sz w:val="32"/>
          <w:szCs w:val="32"/>
          <w:highlight w:val="none"/>
        </w:rPr>
        <w:t>万元，加调出资金</w:t>
      </w:r>
      <w:r>
        <w:rPr>
          <w:rFonts w:hint="eastAsia" w:ascii="仿宋_GB2312" w:hAnsi="仿宋" w:eastAsia="仿宋_GB2312" w:cs="Times New Roman"/>
          <w:color w:val="auto"/>
          <w:kern w:val="2"/>
          <w:sz w:val="32"/>
          <w:szCs w:val="32"/>
          <w:highlight w:val="none"/>
          <w:lang w:val="en-US" w:eastAsia="zh-CN" w:bidi="ar-SA"/>
        </w:rPr>
        <w:t>300</w:t>
      </w:r>
      <w:r>
        <w:rPr>
          <w:rFonts w:hint="eastAsia" w:ascii="仿宋_GB2312" w:eastAsia="仿宋_GB2312"/>
          <w:color w:val="auto"/>
          <w:sz w:val="32"/>
          <w:szCs w:val="32"/>
          <w:highlight w:val="none"/>
        </w:rPr>
        <w:t>万元，支出总计</w:t>
      </w:r>
      <w:r>
        <w:rPr>
          <w:rFonts w:hint="eastAsia" w:ascii="仿宋_GB2312" w:hAnsi="仿宋" w:eastAsia="仿宋_GB2312" w:cs="Times New Roman"/>
          <w:color w:val="auto"/>
          <w:kern w:val="2"/>
          <w:sz w:val="32"/>
          <w:szCs w:val="32"/>
          <w:highlight w:val="none"/>
          <w:lang w:val="en-US" w:eastAsia="zh-CN" w:bidi="ar-SA"/>
        </w:rPr>
        <w:t>325.7</w:t>
      </w:r>
      <w:r>
        <w:rPr>
          <w:rFonts w:hint="eastAsia" w:ascii="仿宋_GB2312" w:eastAsia="仿宋_GB2312"/>
          <w:color w:val="auto"/>
          <w:sz w:val="32"/>
          <w:szCs w:val="32"/>
          <w:highlight w:val="none"/>
        </w:rPr>
        <w:t>万元。收支平衡。</w:t>
      </w:r>
    </w:p>
    <w:p>
      <w:pPr>
        <w:pStyle w:val="6"/>
        <w:widowControl w:val="0"/>
        <w:suppressAutoHyphens/>
        <w:spacing w:before="0" w:beforeAutospacing="0" w:after="0" w:afterAutospacing="0" w:line="540" w:lineRule="exact"/>
        <w:ind w:firstLine="643" w:firstLineChars="200"/>
        <w:rPr>
          <w:rStyle w:val="9"/>
          <w:rFonts w:ascii="仿宋_GB2312" w:eastAsia="仿宋_GB2312"/>
          <w:color w:val="auto"/>
          <w:sz w:val="32"/>
          <w:szCs w:val="32"/>
          <w:highlight w:val="none"/>
        </w:rPr>
      </w:pPr>
      <w:r>
        <w:rPr>
          <w:rStyle w:val="9"/>
          <w:rFonts w:hint="eastAsia" w:ascii="仿宋_GB2312" w:eastAsia="仿宋_GB2312"/>
          <w:color w:val="auto"/>
          <w:sz w:val="32"/>
          <w:szCs w:val="32"/>
          <w:highlight w:val="none"/>
        </w:rPr>
        <w:t>6.地方政府债务情况</w:t>
      </w:r>
    </w:p>
    <w:p>
      <w:pPr>
        <w:suppressAutoHyphens/>
        <w:spacing w:line="540" w:lineRule="exact"/>
        <w:ind w:firstLine="627" w:firstLineChars="196"/>
        <w:rPr>
          <w:rFonts w:ascii="仿宋_GB2312" w:eastAsia="仿宋_GB2312"/>
          <w:color w:val="auto"/>
          <w:sz w:val="32"/>
          <w:szCs w:val="32"/>
          <w:highlight w:val="none"/>
        </w:rPr>
      </w:pPr>
      <w:r>
        <w:rPr>
          <w:rFonts w:hint="eastAsia" w:ascii="仿宋_GB2312" w:eastAsia="仿宋_GB2312"/>
          <w:color w:val="auto"/>
          <w:sz w:val="32"/>
          <w:szCs w:val="32"/>
          <w:highlight w:val="none"/>
        </w:rPr>
        <w:t>2022年，</w:t>
      </w:r>
      <w:r>
        <w:rPr>
          <w:rFonts w:hint="eastAsia" w:ascii="仿宋_GB2312" w:eastAsia="仿宋_GB2312"/>
          <w:color w:val="auto"/>
          <w:sz w:val="32"/>
          <w:szCs w:val="32"/>
          <w:highlight w:val="none"/>
          <w:lang w:eastAsia="zh-CN"/>
        </w:rPr>
        <w:t>预计</w:t>
      </w:r>
      <w:r>
        <w:rPr>
          <w:rFonts w:hint="eastAsia" w:ascii="仿宋_GB2312" w:eastAsia="仿宋_GB2312"/>
          <w:color w:val="auto"/>
          <w:sz w:val="32"/>
          <w:szCs w:val="32"/>
          <w:highlight w:val="none"/>
        </w:rPr>
        <w:t>上级下达我县政府债务限额75.74亿元，</w:t>
      </w:r>
      <w:r>
        <w:rPr>
          <w:rFonts w:hint="eastAsia" w:ascii="仿宋_GB2312" w:hAnsi="仿宋" w:eastAsia="仿宋_GB2312"/>
          <w:color w:val="auto"/>
          <w:sz w:val="32"/>
          <w:szCs w:val="32"/>
          <w:highlight w:val="none"/>
        </w:rPr>
        <w:t>其中一般债务15.07亿元，专项债务60.67亿元。</w:t>
      </w:r>
      <w:r>
        <w:rPr>
          <w:rFonts w:hint="eastAsia" w:ascii="仿宋_GB2312" w:eastAsia="仿宋_GB2312"/>
          <w:color w:val="auto"/>
          <w:sz w:val="32"/>
          <w:szCs w:val="32"/>
          <w:highlight w:val="none"/>
        </w:rPr>
        <w:t>年末政府债务余额73.67亿元，</w:t>
      </w:r>
      <w:r>
        <w:rPr>
          <w:rFonts w:hint="eastAsia" w:ascii="仿宋_GB2312" w:hAnsi="仿宋" w:eastAsia="仿宋_GB2312"/>
          <w:color w:val="auto"/>
          <w:sz w:val="32"/>
          <w:szCs w:val="32"/>
          <w:highlight w:val="none"/>
        </w:rPr>
        <w:t>其中一般债务14.18亿元，专项债务59.49亿元，政府债务总额、一般债务余额、专项债务余额皆</w:t>
      </w:r>
      <w:r>
        <w:rPr>
          <w:rFonts w:hint="eastAsia" w:ascii="仿宋_GB2312" w:eastAsia="仿宋_GB2312"/>
          <w:color w:val="auto"/>
          <w:sz w:val="32"/>
          <w:szCs w:val="32"/>
          <w:highlight w:val="none"/>
        </w:rPr>
        <w:t>控制在上级核定的限额内。全年上级下达我县债券转贷资金9.36亿元，其中再融资债券5.78亿元，新增债券3.58亿元。</w:t>
      </w:r>
    </w:p>
    <w:p>
      <w:pPr>
        <w:spacing w:line="540" w:lineRule="exact"/>
        <w:ind w:firstLine="627" w:firstLineChars="196"/>
        <w:rPr>
          <w:rFonts w:ascii="楷体_GB2312" w:hAnsi="宋体" w:eastAsia="楷体_GB2312"/>
          <w:color w:val="auto"/>
          <w:sz w:val="32"/>
          <w:szCs w:val="32"/>
          <w:highlight w:val="none"/>
        </w:rPr>
      </w:pPr>
      <w:r>
        <w:rPr>
          <w:rFonts w:hint="eastAsia" w:ascii="楷体_GB2312" w:eastAsia="楷体_GB2312"/>
          <w:color w:val="auto"/>
          <w:sz w:val="32"/>
          <w:szCs w:val="32"/>
          <w:highlight w:val="none"/>
        </w:rPr>
        <w:t>（二）</w:t>
      </w:r>
      <w:r>
        <w:rPr>
          <w:rFonts w:hint="eastAsia" w:ascii="楷体_GB2312" w:hAnsi="宋体" w:eastAsia="楷体_GB2312"/>
          <w:color w:val="auto"/>
          <w:sz w:val="32"/>
          <w:szCs w:val="32"/>
          <w:highlight w:val="none"/>
        </w:rPr>
        <w:t>落实县人大预算决议情况</w:t>
      </w:r>
    </w:p>
    <w:p>
      <w:pPr>
        <w:suppressAutoHyphens/>
        <w:spacing w:line="540" w:lineRule="exact"/>
        <w:ind w:firstLine="627" w:firstLineChars="196"/>
        <w:rPr>
          <w:rFonts w:ascii="仿宋_GB2312" w:eastAsia="仿宋_GB2312"/>
          <w:color w:val="auto"/>
          <w:sz w:val="32"/>
          <w:szCs w:val="32"/>
          <w:highlight w:val="none"/>
        </w:rPr>
      </w:pPr>
      <w:r>
        <w:rPr>
          <w:rFonts w:hint="eastAsia" w:ascii="仿宋_GB2312" w:eastAsia="仿宋_GB2312"/>
          <w:color w:val="auto"/>
          <w:sz w:val="32"/>
          <w:szCs w:val="32"/>
          <w:highlight w:val="none"/>
        </w:rPr>
        <w:t>2022年，全县财政部门认真贯彻中央、省、市、县决策部署和县人大预算决议要求，严格执行《预算法》各项规定，全面落实依法理财，切实严肃财经纪律，加强财政收支管理，完善风险管控，不断改进财政工作。</w:t>
      </w:r>
    </w:p>
    <w:p>
      <w:pPr>
        <w:tabs>
          <w:tab w:val="left" w:pos="312"/>
        </w:tabs>
        <w:spacing w:line="540" w:lineRule="exact"/>
        <w:ind w:firstLine="630" w:firstLineChars="196"/>
        <w:rPr>
          <w:rFonts w:ascii="仿宋_GB2312" w:hAnsi="仿宋_GB2312" w:eastAsia="仿宋_GB2312" w:cs="仿宋_GB2312"/>
          <w:color w:val="auto"/>
          <w:kern w:val="0"/>
          <w:sz w:val="32"/>
          <w:szCs w:val="32"/>
          <w:highlight w:val="none"/>
        </w:rPr>
      </w:pPr>
      <w:r>
        <w:rPr>
          <w:rFonts w:hint="eastAsia" w:ascii="仿宋_GB2312" w:eastAsia="仿宋_GB2312"/>
          <w:b/>
          <w:color w:val="auto"/>
          <w:sz w:val="32"/>
          <w:szCs w:val="32"/>
          <w:highlight w:val="none"/>
        </w:rPr>
        <w:t>1.培财源强征管，努力完成预算目标任务。</w:t>
      </w:r>
      <w:r>
        <w:rPr>
          <w:rFonts w:hint="eastAsia" w:ascii="仿宋_GB2312" w:eastAsia="仿宋_GB2312"/>
          <w:color w:val="auto"/>
          <w:sz w:val="32"/>
          <w:szCs w:val="32"/>
          <w:highlight w:val="none"/>
        </w:rPr>
        <w:t>面对复杂严峻的收入形势，科学谋划部署，认真落实减税降费政策，多途径挖潜力、培财源、强征管，努力完成全年目标任务。</w:t>
      </w:r>
      <w:r>
        <w:rPr>
          <w:rFonts w:hint="eastAsia" w:ascii="仿宋_GB2312" w:hAnsi="ˎ̥" w:eastAsia="仿宋_GB2312"/>
          <w:b/>
          <w:bCs/>
          <w:color w:val="auto"/>
          <w:spacing w:val="-4"/>
          <w:sz w:val="32"/>
          <w:szCs w:val="32"/>
          <w:highlight w:val="none"/>
        </w:rPr>
        <w:t>一是</w:t>
      </w:r>
      <w:r>
        <w:rPr>
          <w:rFonts w:hint="eastAsia" w:ascii="仿宋_GB2312" w:hAnsi="ˎ̥" w:eastAsia="仿宋_GB2312"/>
          <w:color w:val="auto"/>
          <w:spacing w:val="-4"/>
          <w:sz w:val="32"/>
          <w:szCs w:val="32"/>
          <w:highlight w:val="none"/>
        </w:rPr>
        <w:t>认真落实增值税留抵退税等退税减税降费政策。</w:t>
      </w:r>
      <w:r>
        <w:rPr>
          <w:rFonts w:hint="eastAsia" w:ascii="仿宋_GB2312" w:hAnsi="仿宋_GB2312" w:eastAsia="仿宋_GB2312" w:cs="仿宋_GB2312"/>
          <w:color w:val="auto"/>
          <w:kern w:val="0"/>
          <w:sz w:val="32"/>
          <w:szCs w:val="32"/>
          <w:highlight w:val="none"/>
        </w:rPr>
        <w:t>提高政治站位，统一思想认识，树牢“留得青山，赢得未来”理念，确保应免尽免、应减尽减、应退尽退。2022年全县仅留抵退税累计就达</w:t>
      </w:r>
      <w:r>
        <w:rPr>
          <w:rFonts w:hint="eastAsia" w:ascii="仿宋_GB2312" w:hAnsi="仿宋" w:eastAsia="仿宋_GB2312" w:cs="Times New Roman"/>
          <w:color w:val="auto"/>
          <w:kern w:val="2"/>
          <w:sz w:val="32"/>
          <w:szCs w:val="32"/>
          <w:highlight w:val="none"/>
          <w:lang w:val="en-US" w:eastAsia="zh-CN" w:bidi="ar-SA"/>
        </w:rPr>
        <w:t>25,090</w:t>
      </w:r>
      <w:r>
        <w:rPr>
          <w:rFonts w:hint="eastAsia" w:ascii="仿宋_GB2312" w:hAnsi="仿宋_GB2312" w:eastAsia="仿宋_GB2312" w:cs="仿宋_GB2312"/>
          <w:color w:val="auto"/>
          <w:kern w:val="0"/>
          <w:sz w:val="32"/>
          <w:szCs w:val="32"/>
          <w:highlight w:val="none"/>
        </w:rPr>
        <w:t>万元，惠及企业</w:t>
      </w:r>
      <w:r>
        <w:rPr>
          <w:rFonts w:hint="eastAsia" w:ascii="仿宋_GB2312" w:hAnsi="仿宋" w:eastAsia="仿宋_GB2312" w:cs="Times New Roman"/>
          <w:color w:val="auto"/>
          <w:kern w:val="2"/>
          <w:sz w:val="32"/>
          <w:szCs w:val="32"/>
          <w:highlight w:val="none"/>
          <w:lang w:val="en-US" w:eastAsia="zh-CN" w:bidi="ar-SA"/>
        </w:rPr>
        <w:t>53</w:t>
      </w:r>
      <w:r>
        <w:rPr>
          <w:rFonts w:hint="eastAsia" w:ascii="仿宋_GB2312" w:hAnsi="仿宋_GB2312" w:eastAsia="仿宋_GB2312" w:cs="仿宋_GB2312"/>
          <w:color w:val="auto"/>
          <w:kern w:val="0"/>
          <w:sz w:val="32"/>
          <w:szCs w:val="32"/>
          <w:highlight w:val="none"/>
        </w:rPr>
        <w:t>家，通过退给企业实实在在的真金白银，直接为企业提供现金流，有效提振市场主体信心，增强发展内生动力，推动经济平稳健康发展。</w:t>
      </w:r>
      <w:r>
        <w:rPr>
          <w:rFonts w:hint="eastAsia" w:ascii="仿宋_GB2312" w:eastAsia="仿宋_GB2312"/>
          <w:b/>
          <w:bCs/>
          <w:color w:val="auto"/>
          <w:sz w:val="32"/>
          <w:szCs w:val="32"/>
          <w:highlight w:val="none"/>
        </w:rPr>
        <w:t>二是</w:t>
      </w:r>
      <w:r>
        <w:rPr>
          <w:rFonts w:hint="eastAsia" w:ascii="仿宋_GB2312" w:eastAsia="仿宋_GB2312"/>
          <w:color w:val="auto"/>
          <w:sz w:val="32"/>
          <w:szCs w:val="32"/>
          <w:highlight w:val="none"/>
        </w:rPr>
        <w:t>压实收入征管责任。建立完善财政、税务以及非税执收部门联系会商机制，定期研判收入形势，按序时进度实施工作调度和月度通报，确保依法征收、应收尽收、颗粒归仓，最大化增加政府可用财力。2022年全县完成一般公共预算收入</w:t>
      </w:r>
      <w:r>
        <w:rPr>
          <w:rFonts w:hint="eastAsia" w:ascii="仿宋_GB2312" w:hAnsi="仿宋" w:eastAsia="仿宋_GB2312" w:cs="Times New Roman"/>
          <w:color w:val="auto"/>
          <w:kern w:val="2"/>
          <w:sz w:val="32"/>
          <w:szCs w:val="32"/>
          <w:highlight w:val="none"/>
          <w:lang w:val="en-US" w:eastAsia="zh-CN" w:bidi="ar-SA"/>
        </w:rPr>
        <w:t>40,073</w:t>
      </w:r>
      <w:r>
        <w:rPr>
          <w:rFonts w:hint="eastAsia" w:ascii="仿宋_GB2312" w:eastAsia="仿宋_GB2312"/>
          <w:color w:val="auto"/>
          <w:sz w:val="32"/>
          <w:szCs w:val="32"/>
          <w:highlight w:val="none"/>
        </w:rPr>
        <w:t>万元，</w:t>
      </w:r>
      <w:r>
        <w:rPr>
          <w:rFonts w:hint="eastAsia" w:ascii="仿宋_GB2312" w:hAnsi="仿宋" w:eastAsia="仿宋_GB2312"/>
          <w:color w:val="auto"/>
          <w:sz w:val="32"/>
          <w:szCs w:val="32"/>
          <w:highlight w:val="none"/>
        </w:rPr>
        <w:t>扣除增值税留抵退税因素影响后同口径增长</w:t>
      </w:r>
      <w:r>
        <w:rPr>
          <w:rFonts w:hint="eastAsia" w:ascii="仿宋_GB2312" w:hAnsi="仿宋" w:eastAsia="仿宋_GB2312" w:cs="Times New Roman"/>
          <w:color w:val="auto"/>
          <w:kern w:val="2"/>
          <w:sz w:val="32"/>
          <w:szCs w:val="32"/>
          <w:highlight w:val="none"/>
          <w:lang w:val="en-US" w:eastAsia="zh-CN" w:bidi="ar-SA"/>
        </w:rPr>
        <w:t>5.09%</w:t>
      </w:r>
      <w:r>
        <w:rPr>
          <w:rFonts w:hint="eastAsia" w:ascii="仿宋_GB2312" w:hAnsi="仿宋" w:eastAsia="仿宋_GB2312"/>
          <w:color w:val="auto"/>
          <w:sz w:val="32"/>
          <w:szCs w:val="32"/>
          <w:highlight w:val="none"/>
        </w:rPr>
        <w:t>，连续两年实现正增长，积极的财政政策持续见效</w:t>
      </w:r>
      <w:r>
        <w:rPr>
          <w:rFonts w:hint="eastAsia" w:ascii="仿宋_GB2312" w:eastAsia="仿宋_GB2312"/>
          <w:color w:val="auto"/>
          <w:sz w:val="32"/>
          <w:szCs w:val="32"/>
          <w:highlight w:val="none"/>
        </w:rPr>
        <w:t>。</w:t>
      </w:r>
      <w:r>
        <w:rPr>
          <w:rFonts w:hint="eastAsia" w:ascii="仿宋_GB2312" w:eastAsia="仿宋_GB2312"/>
          <w:b/>
          <w:bCs/>
          <w:color w:val="auto"/>
          <w:sz w:val="32"/>
          <w:szCs w:val="32"/>
          <w:highlight w:val="none"/>
        </w:rPr>
        <w:t>三是</w:t>
      </w:r>
      <w:r>
        <w:rPr>
          <w:rFonts w:hint="eastAsia" w:ascii="仿宋_GB2312" w:eastAsia="仿宋_GB2312"/>
          <w:color w:val="auto"/>
          <w:sz w:val="32"/>
          <w:szCs w:val="32"/>
          <w:highlight w:val="none"/>
        </w:rPr>
        <w:t>加快土地收储运营，加大国有土地使用权出让力度和欠缴土地出让金清收力度，做大做强政府性基金预算收入。2022年完成政府性基金预算收入</w:t>
      </w:r>
      <w:r>
        <w:rPr>
          <w:rFonts w:hint="eastAsia" w:ascii="仿宋_GB2312" w:hAnsi="仿宋" w:eastAsia="仿宋_GB2312" w:cs="Times New Roman"/>
          <w:color w:val="auto"/>
          <w:kern w:val="2"/>
          <w:sz w:val="32"/>
          <w:szCs w:val="32"/>
          <w:highlight w:val="none"/>
          <w:lang w:val="en-US" w:eastAsia="zh-CN" w:bidi="ar-SA"/>
        </w:rPr>
        <w:t>150,360</w:t>
      </w:r>
      <w:r>
        <w:rPr>
          <w:rFonts w:hint="eastAsia" w:ascii="仿宋_GB2312" w:eastAsia="仿宋_GB2312"/>
          <w:color w:val="auto"/>
          <w:sz w:val="32"/>
          <w:szCs w:val="32"/>
          <w:highlight w:val="none"/>
        </w:rPr>
        <w:t>万元，为预算的</w:t>
      </w:r>
      <w:r>
        <w:rPr>
          <w:rFonts w:hint="eastAsia" w:ascii="仿宋_GB2312" w:hAnsi="仿宋" w:eastAsia="仿宋_GB2312" w:cs="Times New Roman"/>
          <w:color w:val="auto"/>
          <w:kern w:val="2"/>
          <w:sz w:val="32"/>
          <w:szCs w:val="32"/>
          <w:highlight w:val="none"/>
          <w:lang w:val="en-US" w:eastAsia="zh-CN" w:bidi="ar-SA"/>
        </w:rPr>
        <w:t>102.63%</w:t>
      </w:r>
      <w:r>
        <w:rPr>
          <w:rFonts w:hint="eastAsia" w:ascii="仿宋_GB2312" w:eastAsia="仿宋_GB2312"/>
          <w:color w:val="auto"/>
          <w:sz w:val="32"/>
          <w:szCs w:val="32"/>
          <w:highlight w:val="none"/>
        </w:rPr>
        <w:t>，同比增长</w:t>
      </w:r>
      <w:r>
        <w:rPr>
          <w:rFonts w:hint="eastAsia" w:ascii="仿宋_GB2312" w:hAnsi="仿宋" w:eastAsia="仿宋_GB2312" w:cs="Times New Roman"/>
          <w:color w:val="auto"/>
          <w:kern w:val="2"/>
          <w:sz w:val="32"/>
          <w:szCs w:val="32"/>
          <w:highlight w:val="none"/>
          <w:lang w:val="en-US" w:eastAsia="zh-CN" w:bidi="ar-SA"/>
        </w:rPr>
        <w:t>7.6%</w:t>
      </w:r>
      <w:r>
        <w:rPr>
          <w:rFonts w:hint="eastAsia" w:ascii="仿宋_GB2312" w:eastAsia="仿宋_GB2312"/>
          <w:color w:val="auto"/>
          <w:sz w:val="32"/>
          <w:szCs w:val="32"/>
          <w:highlight w:val="none"/>
        </w:rPr>
        <w:t>，增收</w:t>
      </w:r>
      <w:r>
        <w:rPr>
          <w:rFonts w:hint="eastAsia" w:ascii="仿宋_GB2312" w:hAnsi="仿宋" w:eastAsia="仿宋_GB2312" w:cs="Times New Roman"/>
          <w:color w:val="auto"/>
          <w:kern w:val="2"/>
          <w:sz w:val="32"/>
          <w:szCs w:val="32"/>
          <w:highlight w:val="none"/>
          <w:lang w:val="en-US" w:eastAsia="zh-CN" w:bidi="ar-SA"/>
        </w:rPr>
        <w:t>10,617</w:t>
      </w:r>
      <w:r>
        <w:rPr>
          <w:rFonts w:hint="eastAsia" w:ascii="仿宋_GB2312" w:eastAsia="仿宋_GB2312"/>
          <w:color w:val="auto"/>
          <w:sz w:val="32"/>
          <w:szCs w:val="32"/>
          <w:highlight w:val="none"/>
        </w:rPr>
        <w:t>万元，为防范化解政府债务风险提供了有力支撑。</w:t>
      </w:r>
    </w:p>
    <w:p>
      <w:pPr>
        <w:tabs>
          <w:tab w:val="left" w:pos="312"/>
        </w:tabs>
        <w:spacing w:line="540" w:lineRule="exact"/>
        <w:ind w:firstLine="630" w:firstLineChars="196"/>
        <w:rPr>
          <w:rFonts w:ascii="仿宋" w:hAnsi="仿宋" w:eastAsia="仿宋" w:cs="仿宋"/>
          <w:color w:val="auto"/>
          <w:sz w:val="32"/>
          <w:szCs w:val="32"/>
          <w:highlight w:val="none"/>
        </w:rPr>
      </w:pPr>
      <w:r>
        <w:rPr>
          <w:rFonts w:hint="eastAsia" w:ascii="仿宋_GB2312" w:eastAsia="仿宋_GB2312"/>
          <w:b/>
          <w:color w:val="auto"/>
          <w:sz w:val="32"/>
          <w:szCs w:val="32"/>
          <w:highlight w:val="none"/>
        </w:rPr>
        <w:t>2.压一般保重点，持续优化财政支出结构。</w:t>
      </w:r>
      <w:r>
        <w:rPr>
          <w:rFonts w:hint="eastAsia" w:ascii="仿宋" w:hAnsi="仿宋" w:eastAsia="仿宋" w:cs="仿宋"/>
          <w:color w:val="auto"/>
          <w:sz w:val="32"/>
          <w:szCs w:val="32"/>
          <w:highlight w:val="none"/>
        </w:rPr>
        <w:t>牢固树立过“紧日子”思想，持续调整优化支出结构，硬化预算刚性约束，严控追加调剂，将有限的资金用在刀刃上。</w:t>
      </w:r>
      <w:r>
        <w:rPr>
          <w:rFonts w:hint="eastAsia" w:ascii="仿宋" w:hAnsi="仿宋" w:eastAsia="仿宋" w:cs="仿宋"/>
          <w:b/>
          <w:bCs/>
          <w:color w:val="auto"/>
          <w:sz w:val="32"/>
          <w:szCs w:val="32"/>
          <w:highlight w:val="none"/>
        </w:rPr>
        <w:t>一是</w:t>
      </w:r>
      <w:r>
        <w:rPr>
          <w:rFonts w:hint="eastAsia" w:ascii="仿宋" w:hAnsi="仿宋" w:eastAsia="仿宋" w:cs="仿宋"/>
          <w:color w:val="auto"/>
          <w:sz w:val="32"/>
          <w:szCs w:val="32"/>
          <w:highlight w:val="none"/>
        </w:rPr>
        <w:t>坚持精打细算，严格执行“三公”经费预算只减不增，严控会议费、培训费、差旅费支出预算规模，大力压减一般性支出，编制年初预算时，继续执行压缩县级部门公用经费6%用于支持巩固</w:t>
      </w:r>
      <w:r>
        <w:rPr>
          <w:rFonts w:hint="eastAsia" w:ascii="仿宋" w:hAnsi="仿宋" w:eastAsia="仿宋" w:cs="仿宋"/>
          <w:color w:val="auto"/>
          <w:sz w:val="32"/>
          <w:szCs w:val="32"/>
          <w:highlight w:val="none"/>
          <w:lang w:eastAsia="zh-CN"/>
        </w:rPr>
        <w:t>拓展</w:t>
      </w:r>
      <w:r>
        <w:rPr>
          <w:rFonts w:hint="eastAsia" w:ascii="仿宋" w:hAnsi="仿宋" w:eastAsia="仿宋" w:cs="仿宋"/>
          <w:color w:val="auto"/>
          <w:sz w:val="32"/>
          <w:szCs w:val="32"/>
          <w:highlight w:val="none"/>
        </w:rPr>
        <w:t>教育脱贫攻坚成果，财政资金使用效能进一步提升。</w:t>
      </w:r>
      <w:r>
        <w:rPr>
          <w:rFonts w:hint="eastAsia" w:ascii="仿宋" w:hAnsi="仿宋" w:eastAsia="仿宋" w:cs="仿宋"/>
          <w:b/>
          <w:bCs/>
          <w:color w:val="auto"/>
          <w:sz w:val="32"/>
          <w:szCs w:val="32"/>
          <w:highlight w:val="none"/>
        </w:rPr>
        <w:t>二是</w:t>
      </w:r>
      <w:r>
        <w:rPr>
          <w:rFonts w:hint="eastAsia" w:ascii="仿宋_GB2312" w:hAnsi="仿宋_GB2312" w:eastAsia="仿宋_GB2312" w:cs="仿宋_GB2312"/>
          <w:color w:val="auto"/>
          <w:sz w:val="32"/>
          <w:szCs w:val="32"/>
          <w:highlight w:val="none"/>
        </w:rPr>
        <w:t>坚持“三保”（保基本民生、保工资、保运转）在财政支出中的优先顺序，坚持预算安排优先、库款保障优先、资金拨付优先的原则，足额保障“三保”支出需求，确保民生有效保障、工资按时发放、机构正常运转。同时，牢固树立以人民为中心的发展思想，将改善民生水平摆在更加重要的位置，2022年全县民生类重点支出完成</w:t>
      </w:r>
      <w:r>
        <w:rPr>
          <w:rFonts w:hint="eastAsia" w:ascii="仿宋_GB2312" w:hAnsi="仿宋_GB2312" w:eastAsia="仿宋_GB2312" w:cs="仿宋_GB2312"/>
          <w:color w:val="auto"/>
          <w:sz w:val="32"/>
          <w:szCs w:val="32"/>
          <w:highlight w:val="none"/>
          <w:lang w:val="en-US" w:eastAsia="zh-CN"/>
        </w:rPr>
        <w:t>196,840</w:t>
      </w:r>
      <w:r>
        <w:rPr>
          <w:rFonts w:hint="eastAsia" w:ascii="仿宋_GB2312" w:hAnsi="仿宋_GB2312" w:eastAsia="仿宋_GB2312" w:cs="仿宋_GB2312"/>
          <w:color w:val="auto"/>
          <w:sz w:val="32"/>
          <w:szCs w:val="32"/>
          <w:highlight w:val="none"/>
        </w:rPr>
        <w:t>万元，占一般公共预算支出的</w:t>
      </w:r>
      <w:r>
        <w:rPr>
          <w:rFonts w:hint="eastAsia" w:ascii="仿宋_GB2312" w:hAnsi="仿宋_GB2312" w:eastAsia="仿宋_GB2312" w:cs="仿宋_GB2312"/>
          <w:color w:val="auto"/>
          <w:sz w:val="32"/>
          <w:szCs w:val="32"/>
          <w:highlight w:val="none"/>
          <w:lang w:val="en-US" w:eastAsia="zh-CN"/>
        </w:rPr>
        <w:t>77.72%</w:t>
      </w:r>
      <w:r>
        <w:rPr>
          <w:rFonts w:hint="eastAsia" w:ascii="仿宋_GB2312" w:hAnsi="仿宋_GB2312" w:eastAsia="仿宋_GB2312" w:cs="仿宋_GB2312"/>
          <w:color w:val="auto"/>
          <w:sz w:val="32"/>
          <w:szCs w:val="32"/>
          <w:highlight w:val="none"/>
        </w:rPr>
        <w:t>，累计审核发放惠农惠民补贴资金</w:t>
      </w:r>
      <w:r>
        <w:rPr>
          <w:rFonts w:hint="eastAsia" w:ascii="仿宋_GB2312" w:hAnsi="仿宋_GB2312" w:eastAsia="仿宋_GB2312" w:cs="仿宋_GB2312"/>
          <w:color w:val="auto"/>
          <w:sz w:val="32"/>
          <w:szCs w:val="32"/>
          <w:highlight w:val="none"/>
          <w:lang w:val="en-US" w:eastAsia="zh-CN"/>
        </w:rPr>
        <w:t>23,868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，受益</w:t>
      </w:r>
      <w:r>
        <w:rPr>
          <w:rFonts w:hint="eastAsia" w:ascii="仿宋_GB2312" w:hAnsi="仿宋_GB2312" w:eastAsia="仿宋_GB2312" w:cs="仿宋_GB2312"/>
          <w:color w:val="auto"/>
          <w:sz w:val="32"/>
          <w:szCs w:val="32"/>
          <w:highlight w:val="none"/>
        </w:rPr>
        <w:t>群众</w:t>
      </w:r>
      <w:r>
        <w:rPr>
          <w:rFonts w:hint="eastAsia" w:ascii="仿宋_GB2312" w:hAnsi="仿宋_GB2312" w:eastAsia="仿宋_GB2312" w:cs="仿宋_GB2312"/>
          <w:color w:val="auto"/>
          <w:sz w:val="32"/>
          <w:szCs w:val="32"/>
          <w:highlight w:val="none"/>
          <w:lang w:val="en-US" w:eastAsia="zh-CN"/>
        </w:rPr>
        <w:t>287,647</w:t>
      </w:r>
      <w:r>
        <w:rPr>
          <w:rFonts w:hint="eastAsia" w:ascii="仿宋_GB2312" w:hAnsi="仿宋_GB2312" w:eastAsia="仿宋_GB2312" w:cs="仿宋_GB2312"/>
          <w:color w:val="auto"/>
          <w:sz w:val="32"/>
          <w:szCs w:val="32"/>
          <w:highlight w:val="none"/>
        </w:rPr>
        <w:t>户次，群众获得感、幸福感进一步增强。</w:t>
      </w:r>
      <w:r>
        <w:rPr>
          <w:rFonts w:hint="eastAsia" w:ascii="仿宋_GB2312" w:eastAsia="仿宋_GB2312"/>
          <w:b/>
          <w:bCs/>
          <w:color w:val="auto"/>
          <w:sz w:val="32"/>
          <w:szCs w:val="32"/>
          <w:highlight w:val="none"/>
        </w:rPr>
        <w:t>三是</w:t>
      </w:r>
      <w:r>
        <w:rPr>
          <w:rFonts w:hint="eastAsia" w:ascii="仿宋_GB2312" w:hAnsi="仿宋_GB2312" w:eastAsia="仿宋_GB2312" w:cs="仿宋_GB2312"/>
          <w:color w:val="auto"/>
          <w:sz w:val="32"/>
          <w:szCs w:val="32"/>
          <w:highlight w:val="none"/>
        </w:rPr>
        <w:t>常态化直达机制高效运行，建立直达资金分配、预算下达、资金支付等全流程、全链条监控，</w:t>
      </w:r>
      <w:r>
        <w:rPr>
          <w:rFonts w:hint="eastAsia" w:ascii="仿宋" w:hAnsi="仿宋" w:eastAsia="仿宋" w:cs="仿宋"/>
          <w:color w:val="auto"/>
          <w:sz w:val="32"/>
          <w:szCs w:val="32"/>
          <w:highlight w:val="none"/>
        </w:rPr>
        <w:t>畅通资金拨付渠道，严格国库集中支付，按月进行通报，确保有关资金尽快直接惠企利民。2022年我县直达资金支出进度位列全市第一，为稳住经济大盘和保障基本民生提供了有力支撑。</w:t>
      </w:r>
      <w:r>
        <w:rPr>
          <w:rFonts w:hint="eastAsia" w:ascii="仿宋" w:hAnsi="仿宋" w:eastAsia="仿宋" w:cs="仿宋"/>
          <w:b/>
          <w:bCs/>
          <w:color w:val="auto"/>
          <w:sz w:val="32"/>
          <w:szCs w:val="32"/>
          <w:highlight w:val="none"/>
        </w:rPr>
        <w:t>四是</w:t>
      </w:r>
      <w:r>
        <w:rPr>
          <w:rFonts w:hint="eastAsia" w:ascii="仿宋" w:hAnsi="仿宋" w:eastAsia="仿宋" w:cs="仿宋"/>
          <w:color w:val="auto"/>
          <w:sz w:val="32"/>
          <w:szCs w:val="32"/>
          <w:highlight w:val="none"/>
        </w:rPr>
        <w:t>全力支持疫情处置和防控，</w:t>
      </w:r>
      <w:r>
        <w:rPr>
          <w:rFonts w:hint="eastAsia" w:ascii="仿宋_GB2312" w:hAnsi="仿宋_GB2312" w:eastAsia="仿宋_GB2312" w:cs="仿宋_GB2312"/>
          <w:color w:val="auto"/>
          <w:sz w:val="32"/>
          <w:szCs w:val="32"/>
          <w:highlight w:val="none"/>
        </w:rPr>
        <w:t>有力解决“8</w:t>
      </w:r>
      <w:r>
        <w:rPr>
          <w:rFonts w:hint="eastAsia" w:ascii="微软雅黑" w:hAnsi="微软雅黑" w:eastAsia="微软雅黑" w:cs="微软雅黑"/>
          <w:color w:val="auto"/>
          <w:sz w:val="32"/>
          <w:szCs w:val="32"/>
          <w:highlight w:val="none"/>
        </w:rPr>
        <w:t>·</w:t>
      </w:r>
      <w:r>
        <w:rPr>
          <w:rFonts w:hint="eastAsia" w:ascii="仿宋_GB2312" w:hAnsi="仿宋_GB2312" w:eastAsia="仿宋_GB2312" w:cs="仿宋_GB2312"/>
          <w:color w:val="auto"/>
          <w:sz w:val="32"/>
          <w:szCs w:val="32"/>
          <w:highlight w:val="none"/>
        </w:rPr>
        <w:t>04”突发疫情所需经费，按照“急事急办、特事特办”的原则，</w:t>
      </w:r>
      <w:r>
        <w:rPr>
          <w:rFonts w:hint="eastAsia" w:ascii="仿宋_GB2312" w:hAnsi="仿宋_GB2312" w:eastAsia="仿宋_GB2312" w:cs="仿宋_GB2312"/>
          <w:bCs/>
          <w:color w:val="auto"/>
          <w:sz w:val="32"/>
          <w:szCs w:val="32"/>
          <w:highlight w:val="none"/>
        </w:rPr>
        <w:t>切实优化简化物资采购、报备审批、资金拨付等程序，确保防疫物资及时到位。同时，扎实做好常态化防疫工作临时补助、防控设备、隔离点建设等经费保障。</w:t>
      </w:r>
      <w:r>
        <w:rPr>
          <w:rFonts w:hint="eastAsia" w:ascii="仿宋_GB2312" w:hAnsi="仿宋_GB2312" w:eastAsia="仿宋_GB2312" w:cs="仿宋_GB2312"/>
          <w:color w:val="auto"/>
          <w:sz w:val="32"/>
          <w:szCs w:val="32"/>
          <w:highlight w:val="none"/>
        </w:rPr>
        <w:t>2022年通过争取上级资金和加大县级投入等方式投入疫情防控资金</w:t>
      </w:r>
      <w:r>
        <w:rPr>
          <w:rFonts w:hint="eastAsia" w:ascii="仿宋_GB2312" w:hAnsi="仿宋_GB2312" w:eastAsia="仿宋_GB2312" w:cs="仿宋_GB2312"/>
          <w:color w:val="auto"/>
          <w:sz w:val="32"/>
          <w:szCs w:val="32"/>
          <w:highlight w:val="none"/>
          <w:lang w:val="en-US" w:eastAsia="zh-CN"/>
        </w:rPr>
        <w:t>3,712</w:t>
      </w:r>
      <w:r>
        <w:rPr>
          <w:rFonts w:hint="eastAsia" w:ascii="仿宋_GB2312" w:hAnsi="仿宋_GB2312" w:eastAsia="仿宋_GB2312" w:cs="仿宋_GB2312"/>
          <w:color w:val="auto"/>
          <w:sz w:val="32"/>
          <w:szCs w:val="32"/>
          <w:highlight w:val="none"/>
        </w:rPr>
        <w:t>万元，切实保障人民群众生命安全和身体健康。</w:t>
      </w:r>
      <w:r>
        <w:rPr>
          <w:rFonts w:hint="eastAsia" w:ascii="仿宋" w:hAnsi="仿宋" w:eastAsia="仿宋" w:cs="仿宋"/>
          <w:b/>
          <w:bCs/>
          <w:color w:val="auto"/>
          <w:sz w:val="32"/>
          <w:szCs w:val="32"/>
          <w:highlight w:val="none"/>
        </w:rPr>
        <w:t>五是</w:t>
      </w:r>
      <w:r>
        <w:rPr>
          <w:rFonts w:hint="eastAsia" w:ascii="仿宋_GB2312" w:hAnsi="仿宋_GB2312" w:eastAsia="仿宋_GB2312" w:cs="仿宋_GB2312"/>
          <w:color w:val="auto"/>
          <w:kern w:val="0"/>
          <w:sz w:val="32"/>
          <w:szCs w:val="32"/>
          <w:highlight w:val="none"/>
        </w:rPr>
        <w:t>大力</w:t>
      </w:r>
      <w:r>
        <w:rPr>
          <w:rFonts w:hint="eastAsia" w:ascii="仿宋_GB2312" w:hAnsi="仿宋_GB2312" w:eastAsia="仿宋_GB2312" w:cs="仿宋_GB2312"/>
          <w:bCs/>
          <w:color w:val="auto"/>
          <w:sz w:val="32"/>
          <w:szCs w:val="32"/>
          <w:highlight w:val="none"/>
        </w:rPr>
        <w:t>实施乡村振兴战略</w:t>
      </w:r>
      <w:r>
        <w:rPr>
          <w:rFonts w:hint="eastAsia" w:ascii="仿宋_GB2312" w:hAnsi="仿宋_GB2312" w:eastAsia="仿宋_GB2312" w:cs="仿宋_GB2312"/>
          <w:color w:val="auto"/>
          <w:kern w:val="0"/>
          <w:sz w:val="32"/>
          <w:szCs w:val="32"/>
          <w:highlight w:val="none"/>
        </w:rPr>
        <w:t>，按照</w:t>
      </w:r>
      <w:r>
        <w:rPr>
          <w:rFonts w:hint="eastAsia" w:ascii="仿宋_GB2312" w:hAnsi="仿宋_GB2312" w:eastAsia="仿宋_GB2312" w:cs="仿宋_GB2312"/>
          <w:bCs/>
          <w:color w:val="auto"/>
          <w:sz w:val="32"/>
          <w:szCs w:val="32"/>
          <w:highlight w:val="none"/>
        </w:rPr>
        <w:t>力度不减弱、总量有增加、结构更优化要求，投入财政衔接推进乡村补助资金</w:t>
      </w:r>
      <w:r>
        <w:rPr>
          <w:rFonts w:hint="eastAsia" w:ascii="仿宋_GB2312" w:hAnsi="仿宋_GB2312" w:eastAsia="仿宋_GB2312" w:cs="仿宋_GB2312"/>
          <w:color w:val="auto"/>
          <w:sz w:val="32"/>
          <w:szCs w:val="32"/>
          <w:highlight w:val="none"/>
          <w:lang w:val="en-US" w:eastAsia="zh-CN"/>
        </w:rPr>
        <w:t>7,364.32</w:t>
      </w:r>
      <w:r>
        <w:rPr>
          <w:rFonts w:hint="eastAsia" w:ascii="仿宋_GB2312" w:hAnsi="仿宋_GB2312" w:eastAsia="仿宋_GB2312" w:cs="仿宋_GB2312"/>
          <w:bCs/>
          <w:color w:val="auto"/>
          <w:sz w:val="32"/>
          <w:szCs w:val="32"/>
          <w:highlight w:val="none"/>
        </w:rPr>
        <w:t>万元，持续巩固脱贫攻坚成果，全面推进乡村振兴。</w:t>
      </w:r>
      <w:r>
        <w:rPr>
          <w:rFonts w:hint="eastAsia" w:ascii="仿宋_GB2312" w:hAnsi="仿宋_GB2312" w:eastAsia="仿宋_GB2312" w:cs="仿宋_GB2312"/>
          <w:b/>
          <w:color w:val="auto"/>
          <w:sz w:val="32"/>
          <w:szCs w:val="32"/>
          <w:highlight w:val="none"/>
        </w:rPr>
        <w:t>六是</w:t>
      </w:r>
      <w:r>
        <w:rPr>
          <w:rFonts w:hint="eastAsia" w:ascii="仿宋_GB2312" w:hAnsi="仿宋_GB2312" w:eastAsia="仿宋_GB2312" w:cs="仿宋_GB2312"/>
          <w:bCs/>
          <w:color w:val="auto"/>
          <w:sz w:val="32"/>
          <w:szCs w:val="32"/>
          <w:highlight w:val="none"/>
        </w:rPr>
        <w:t>完善教育经费投入保障机制</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highlight w:val="none"/>
        </w:rPr>
        <w:t>持续保障财政投入，2022年全县教育支出完成</w:t>
      </w:r>
      <w:r>
        <w:rPr>
          <w:rFonts w:hint="eastAsia" w:ascii="仿宋_GB2312" w:hAnsi="仿宋_GB2312" w:eastAsia="仿宋_GB2312" w:cs="仿宋_GB2312"/>
          <w:color w:val="auto"/>
          <w:sz w:val="32"/>
          <w:szCs w:val="32"/>
          <w:highlight w:val="none"/>
          <w:lang w:val="en-US" w:eastAsia="zh-CN"/>
        </w:rPr>
        <w:t>68,310</w:t>
      </w:r>
      <w:r>
        <w:rPr>
          <w:rFonts w:hint="eastAsia" w:ascii="仿宋_GB2312" w:hAnsi="仿宋_GB2312" w:eastAsia="仿宋_GB2312" w:cs="仿宋_GB2312"/>
          <w:bCs/>
          <w:color w:val="auto"/>
          <w:sz w:val="32"/>
          <w:szCs w:val="32"/>
          <w:highlight w:val="none"/>
        </w:rPr>
        <w:t>万元，占一般公共预算支出的</w:t>
      </w:r>
      <w:r>
        <w:rPr>
          <w:rFonts w:hint="eastAsia" w:ascii="仿宋_GB2312" w:hAnsi="仿宋_GB2312" w:eastAsia="仿宋_GB2312" w:cs="仿宋_GB2312"/>
          <w:bCs/>
          <w:color w:val="auto"/>
          <w:sz w:val="32"/>
          <w:szCs w:val="32"/>
          <w:highlight w:val="none"/>
          <w:lang w:val="en-US" w:eastAsia="zh-CN"/>
        </w:rPr>
        <w:t>26.97</w:t>
      </w:r>
      <w:r>
        <w:rPr>
          <w:rFonts w:hint="eastAsia" w:ascii="仿宋_GB2312" w:hAnsi="仿宋_GB2312" w:eastAsia="仿宋_GB2312" w:cs="仿宋_GB2312"/>
          <w:bCs/>
          <w:color w:val="auto"/>
          <w:sz w:val="32"/>
          <w:szCs w:val="32"/>
          <w:highlight w:val="none"/>
        </w:rPr>
        <w:t>%，同口径比上年增支</w:t>
      </w:r>
      <w:r>
        <w:rPr>
          <w:rFonts w:hint="eastAsia" w:ascii="仿宋_GB2312" w:hAnsi="仿宋_GB2312" w:eastAsia="仿宋_GB2312" w:cs="仿宋_GB2312"/>
          <w:bCs/>
          <w:color w:val="auto"/>
          <w:sz w:val="32"/>
          <w:szCs w:val="32"/>
          <w:highlight w:val="none"/>
          <w:lang w:val="en-US" w:eastAsia="zh-CN"/>
        </w:rPr>
        <w:t>6,259</w:t>
      </w:r>
      <w:r>
        <w:rPr>
          <w:rFonts w:hint="eastAsia" w:ascii="仿宋_GB2312" w:hAnsi="仿宋_GB2312" w:eastAsia="仿宋_GB2312" w:cs="仿宋_GB2312"/>
          <w:bCs/>
          <w:color w:val="auto"/>
          <w:sz w:val="32"/>
          <w:szCs w:val="32"/>
          <w:highlight w:val="none"/>
        </w:rPr>
        <w:t>万元。</w:t>
      </w:r>
      <w:r>
        <w:rPr>
          <w:rFonts w:hint="eastAsia" w:ascii="仿宋" w:hAnsi="仿宋" w:eastAsia="仿宋" w:cs="仿宋"/>
          <w:b/>
          <w:bCs/>
          <w:color w:val="auto"/>
          <w:sz w:val="32"/>
          <w:szCs w:val="32"/>
          <w:highlight w:val="none"/>
        </w:rPr>
        <w:t>七是</w:t>
      </w:r>
      <w:r>
        <w:rPr>
          <w:rFonts w:hint="eastAsia" w:ascii="仿宋" w:hAnsi="仿宋" w:eastAsia="仿宋" w:cs="仿宋"/>
          <w:color w:val="auto"/>
          <w:sz w:val="32"/>
          <w:szCs w:val="32"/>
          <w:highlight w:val="none"/>
        </w:rPr>
        <w:t>聚焦重点项目建设，争取省级新增专项债券资金32,006万元，新增一般债券3,189万元，用于国家储备林、老旧小区改造、棚户区改造、牛心大道、保障性安居</w:t>
      </w:r>
      <w:r>
        <w:rPr>
          <w:rFonts w:hint="eastAsia" w:ascii="仿宋" w:hAnsi="仿宋" w:eastAsia="仿宋" w:cs="仿宋"/>
          <w:color w:val="auto"/>
          <w:sz w:val="32"/>
          <w:szCs w:val="32"/>
          <w:highlight w:val="none"/>
          <w:lang w:eastAsia="zh-CN"/>
        </w:rPr>
        <w:t>工程</w:t>
      </w:r>
      <w:r>
        <w:rPr>
          <w:rFonts w:hint="eastAsia" w:ascii="仿宋" w:hAnsi="仿宋" w:eastAsia="仿宋" w:cs="仿宋"/>
          <w:color w:val="auto"/>
          <w:sz w:val="32"/>
          <w:szCs w:val="32"/>
          <w:highlight w:val="none"/>
        </w:rPr>
        <w:t>等重点项目建设，不断提高全县公共基础设施服务能力。</w:t>
      </w:r>
    </w:p>
    <w:p>
      <w:pPr>
        <w:spacing w:line="540" w:lineRule="exact"/>
        <w:ind w:firstLine="630" w:firstLineChars="196"/>
        <w:jc w:val="left"/>
        <w:rPr>
          <w:rFonts w:ascii="仿宋" w:hAnsi="仿宋" w:eastAsia="仿宋_GB2312" w:cs="仿宋"/>
          <w:color w:val="auto"/>
          <w:sz w:val="32"/>
          <w:szCs w:val="32"/>
          <w:highlight w:val="none"/>
        </w:rPr>
      </w:pPr>
      <w:r>
        <w:rPr>
          <w:rFonts w:hint="eastAsia" w:ascii="仿宋_GB2312" w:eastAsia="仿宋_GB2312"/>
          <w:b/>
          <w:color w:val="auto"/>
          <w:sz w:val="32"/>
          <w:szCs w:val="32"/>
          <w:highlight w:val="none"/>
        </w:rPr>
        <w:t>3.强调度</w:t>
      </w:r>
      <w:r>
        <w:rPr>
          <w:rFonts w:hint="eastAsia" w:ascii="仿宋_GB2312" w:hAnsi="宋体" w:eastAsia="仿宋_GB2312" w:cs="宋体"/>
          <w:b/>
          <w:color w:val="auto"/>
          <w:kern w:val="0"/>
          <w:sz w:val="32"/>
          <w:szCs w:val="32"/>
          <w:highlight w:val="none"/>
        </w:rPr>
        <w:t>重防控</w:t>
      </w:r>
      <w:r>
        <w:rPr>
          <w:rFonts w:hint="eastAsia" w:ascii="仿宋_GB2312" w:eastAsia="仿宋_GB2312"/>
          <w:b/>
          <w:color w:val="auto"/>
          <w:sz w:val="32"/>
          <w:szCs w:val="32"/>
          <w:highlight w:val="none"/>
        </w:rPr>
        <w:t>，兜牢兜实债务风险底线。</w:t>
      </w:r>
      <w:r>
        <w:rPr>
          <w:rFonts w:hint="eastAsia" w:ascii="仿宋_GB2312" w:hAnsi="仿宋_GB2312" w:eastAsia="仿宋_GB2312" w:cs="仿宋_GB2312"/>
          <w:color w:val="auto"/>
          <w:sz w:val="32"/>
          <w:szCs w:val="32"/>
          <w:highlight w:val="none"/>
        </w:rPr>
        <w:t>认真贯彻落实中央、省、市、县关于打好防范化解重大风险攻坚战的要求，明确工作目标，提出具体措施，压实工作责任，强化监督落实，截至目前，我县未发生过债务逾期和债务舆情事件，牢牢守住了不发生区域性系统性风险的底线。</w:t>
      </w:r>
      <w:r>
        <w:rPr>
          <w:rFonts w:hint="eastAsia" w:ascii="仿宋_GB2312" w:eastAsia="仿宋_GB2312"/>
          <w:b/>
          <w:bCs/>
          <w:color w:val="auto"/>
          <w:sz w:val="32"/>
          <w:szCs w:val="32"/>
          <w:highlight w:val="none"/>
        </w:rPr>
        <w:t>一是</w:t>
      </w:r>
      <w:r>
        <w:rPr>
          <w:rFonts w:hint="eastAsia" w:ascii="仿宋_GB2312" w:hAnsi="ˎ̥" w:eastAsia="仿宋_GB2312"/>
          <w:color w:val="auto"/>
          <w:sz w:val="32"/>
          <w:szCs w:val="32"/>
          <w:highlight w:val="none"/>
        </w:rPr>
        <w:t>积极向上争取，开展存量债务滚动置换，全年争取到位再融资债券资金</w:t>
      </w:r>
      <w:r>
        <w:rPr>
          <w:rFonts w:hint="eastAsia" w:ascii="仿宋_GB2312" w:eastAsia="仿宋_GB2312"/>
          <w:color w:val="auto"/>
          <w:sz w:val="32"/>
          <w:szCs w:val="32"/>
          <w:highlight w:val="none"/>
        </w:rPr>
        <w:t>57,754</w:t>
      </w:r>
      <w:r>
        <w:rPr>
          <w:rFonts w:ascii="仿宋_GB2312" w:hAnsi="ˎ̥" w:eastAsia="仿宋_GB2312"/>
          <w:color w:val="auto"/>
          <w:sz w:val="32"/>
          <w:szCs w:val="32"/>
          <w:highlight w:val="none"/>
        </w:rPr>
        <w:t>万元，对政府置换债券到期本金进行滚动置换，有效缓释政府债务风险</w:t>
      </w:r>
      <w:r>
        <w:rPr>
          <w:rFonts w:hint="eastAsia" w:ascii="仿宋_GB2312" w:eastAsia="仿宋_GB2312"/>
          <w:color w:val="auto"/>
          <w:sz w:val="32"/>
          <w:szCs w:val="32"/>
          <w:highlight w:val="none"/>
        </w:rPr>
        <w:t>。</w:t>
      </w:r>
      <w:r>
        <w:rPr>
          <w:rFonts w:hint="eastAsia" w:ascii="仿宋_GB2312" w:eastAsia="仿宋_GB2312"/>
          <w:b/>
          <w:color w:val="auto"/>
          <w:sz w:val="32"/>
          <w:szCs w:val="32"/>
          <w:highlight w:val="none"/>
        </w:rPr>
        <w:t>二是</w:t>
      </w:r>
      <w:r>
        <w:rPr>
          <w:rFonts w:hint="eastAsia" w:ascii="仿宋_GB2312" w:hAnsi="ˎ̥" w:eastAsia="仿宋_GB2312"/>
          <w:color w:val="auto"/>
          <w:sz w:val="32"/>
          <w:szCs w:val="32"/>
          <w:highlight w:val="none"/>
        </w:rPr>
        <w:t>强化统筹调度，有效应对到期偿债风险。一方面</w:t>
      </w:r>
      <w:r>
        <w:rPr>
          <w:rFonts w:hint="eastAsia" w:ascii="仿宋_GB2312" w:eastAsia="仿宋_GB2312"/>
          <w:color w:val="auto"/>
          <w:sz w:val="32"/>
          <w:szCs w:val="32"/>
          <w:highlight w:val="none"/>
        </w:rPr>
        <w:t>认真开展到期债务项目清理，</w:t>
      </w:r>
      <w:r>
        <w:rPr>
          <w:rFonts w:hint="eastAsia" w:ascii="仿宋_GB2312" w:hAnsi="仿宋_GB2312" w:eastAsia="仿宋_GB2312" w:cs="仿宋_GB2312"/>
          <w:bCs/>
          <w:color w:val="auto"/>
          <w:sz w:val="32"/>
          <w:szCs w:val="32"/>
          <w:highlight w:val="none"/>
        </w:rPr>
        <w:t>按照“一债务一措施，多渠道多方式”防范化解债务风险的要求，分类建立到期债务应急处置台帐；同时</w:t>
      </w:r>
      <w:r>
        <w:rPr>
          <w:rFonts w:hint="eastAsia" w:ascii="仿宋_GB2312" w:hAnsi="ˎ̥" w:eastAsia="仿宋_GB2312"/>
          <w:color w:val="auto"/>
          <w:spacing w:val="-4"/>
          <w:sz w:val="32"/>
          <w:szCs w:val="32"/>
          <w:highlight w:val="none"/>
        </w:rPr>
        <w:t>严格执行</w:t>
      </w:r>
      <w:r>
        <w:rPr>
          <w:rFonts w:hint="eastAsia" w:ascii="仿宋_GB2312" w:eastAsia="仿宋_GB2312"/>
          <w:color w:val="auto"/>
          <w:sz w:val="32"/>
          <w:szCs w:val="32"/>
          <w:highlight w:val="none"/>
        </w:rPr>
        <w:t>常态化债务风险排查报告制度，时时跟踪化解风险隐患</w:t>
      </w:r>
      <w:r>
        <w:rPr>
          <w:rFonts w:hint="eastAsia" w:ascii="仿宋_GB2312" w:hAnsi="ˎ̥" w:eastAsia="仿宋_GB2312"/>
          <w:color w:val="auto"/>
          <w:spacing w:val="-4"/>
          <w:sz w:val="32"/>
          <w:szCs w:val="32"/>
          <w:highlight w:val="none"/>
        </w:rPr>
        <w:t>，</w:t>
      </w:r>
      <w:r>
        <w:rPr>
          <w:rFonts w:hint="eastAsia" w:ascii="仿宋_GB2312" w:hAnsi="仿宋_GB2312" w:eastAsia="仿宋_GB2312" w:cs="仿宋_GB2312"/>
          <w:bCs/>
          <w:color w:val="auto"/>
          <w:sz w:val="32"/>
          <w:szCs w:val="32"/>
          <w:highlight w:val="none"/>
        </w:rPr>
        <w:t>建立</w:t>
      </w:r>
      <w:r>
        <w:rPr>
          <w:rFonts w:hint="eastAsia" w:ascii="仿宋_GB2312" w:hAnsi="仿宋_GB2312" w:eastAsia="仿宋_GB2312" w:cs="仿宋_GB2312"/>
          <w:color w:val="auto"/>
          <w:sz w:val="32"/>
          <w:szCs w:val="32"/>
          <w:highlight w:val="none"/>
        </w:rPr>
        <w:t>重大风险事项专报机制，及时监控债务单位到期偿还金额及风险情况</w:t>
      </w:r>
      <w:r>
        <w:rPr>
          <w:rFonts w:hint="eastAsia" w:ascii="仿宋_GB2312" w:hAnsi="仿宋_GB2312" w:eastAsia="仿宋_GB2312" w:cs="仿宋_GB2312"/>
          <w:bCs/>
          <w:color w:val="auto"/>
          <w:sz w:val="32"/>
          <w:szCs w:val="32"/>
          <w:highlight w:val="none"/>
        </w:rPr>
        <w:t>，</w:t>
      </w:r>
      <w:r>
        <w:rPr>
          <w:rFonts w:hint="eastAsia" w:ascii="仿宋_GB2312" w:hAnsi="ˎ̥" w:eastAsia="仿宋_GB2312"/>
          <w:color w:val="auto"/>
          <w:spacing w:val="-4"/>
          <w:sz w:val="32"/>
          <w:szCs w:val="32"/>
          <w:highlight w:val="none"/>
        </w:rPr>
        <w:t>提前防范债务风险。</w:t>
      </w:r>
      <w:r>
        <w:rPr>
          <w:rFonts w:hint="eastAsia" w:ascii="仿宋_GB2312" w:hAnsi="ˎ̥" w:eastAsia="仿宋_GB2312"/>
          <w:b/>
          <w:bCs/>
          <w:color w:val="auto"/>
          <w:spacing w:val="-4"/>
          <w:sz w:val="32"/>
          <w:szCs w:val="32"/>
          <w:highlight w:val="none"/>
        </w:rPr>
        <w:t>三是</w:t>
      </w:r>
      <w:r>
        <w:rPr>
          <w:rFonts w:hint="eastAsia" w:ascii="仿宋_GB2312" w:hAnsi="仿宋_GB2312" w:eastAsia="仿宋_GB2312" w:cs="仿宋_GB2312"/>
          <w:color w:val="auto"/>
          <w:sz w:val="32"/>
          <w:szCs w:val="32"/>
          <w:highlight w:val="none"/>
        </w:rPr>
        <w:t>严守风险等级，全力完成化债目标任务，千方百计增加财政收入，统筹资源资金，增强财政综合财力水平，</w:t>
      </w:r>
      <w:r>
        <w:rPr>
          <w:rFonts w:hint="eastAsia" w:ascii="仿宋" w:hAnsi="仿宋" w:eastAsia="仿宋" w:cs="仿宋"/>
          <w:color w:val="auto"/>
          <w:sz w:val="32"/>
          <w:szCs w:val="32"/>
          <w:highlight w:val="none"/>
        </w:rPr>
        <w:t>确保风险等级不上升。</w:t>
      </w:r>
    </w:p>
    <w:p>
      <w:pPr>
        <w:spacing w:line="540" w:lineRule="exact"/>
        <w:ind w:firstLine="643" w:firstLineChars="200"/>
        <w:rPr>
          <w:rFonts w:ascii="仿宋" w:hAnsi="仿宋" w:eastAsia="仿宋_GB2312" w:cs="仿宋"/>
          <w:color w:val="auto"/>
          <w:sz w:val="32"/>
          <w:szCs w:val="32"/>
          <w:highlight w:val="none"/>
        </w:rPr>
      </w:pPr>
      <w:r>
        <w:rPr>
          <w:rFonts w:hint="eastAsia" w:ascii="仿宋_GB2312" w:eastAsia="仿宋_GB2312"/>
          <w:b/>
          <w:color w:val="auto"/>
          <w:sz w:val="32"/>
          <w:szCs w:val="32"/>
          <w:highlight w:val="none"/>
        </w:rPr>
        <w:t>4.促改革强监督，</w:t>
      </w:r>
      <w:r>
        <w:rPr>
          <w:rFonts w:hint="eastAsia" w:ascii="仿宋_GB2312" w:hAnsi="宋体" w:eastAsia="仿宋_GB2312" w:cs="宋体"/>
          <w:b/>
          <w:color w:val="auto"/>
          <w:kern w:val="0"/>
          <w:sz w:val="32"/>
          <w:szCs w:val="32"/>
          <w:highlight w:val="none"/>
        </w:rPr>
        <w:t>提升财政规范运行水平</w:t>
      </w:r>
      <w:r>
        <w:rPr>
          <w:rFonts w:hint="eastAsia" w:ascii="仿宋_GB2312" w:eastAsia="仿宋_GB2312"/>
          <w:b/>
          <w:color w:val="auto"/>
          <w:sz w:val="32"/>
          <w:szCs w:val="32"/>
          <w:highlight w:val="none"/>
        </w:rPr>
        <w:t>。</w:t>
      </w:r>
      <w:r>
        <w:rPr>
          <w:rFonts w:hint="eastAsia" w:ascii="仿宋_GB2312" w:eastAsia="仿宋_GB2312"/>
          <w:b w:val="0"/>
          <w:color w:val="auto"/>
          <w:sz w:val="32"/>
          <w:szCs w:val="32"/>
          <w:highlight w:val="none"/>
        </w:rPr>
        <w:t>严格落实政府投资条例，</w:t>
      </w:r>
      <w:r>
        <w:rPr>
          <w:rFonts w:hint="eastAsia" w:ascii="仿宋_GB2312" w:eastAsia="仿宋_GB2312"/>
          <w:color w:val="auto"/>
          <w:sz w:val="32"/>
          <w:szCs w:val="32"/>
          <w:highlight w:val="none"/>
        </w:rPr>
        <w:t>加强财政承受能力论证，结合经济社会发展需要和财政中期规划上项目</w:t>
      </w:r>
      <w:r>
        <w:rPr>
          <w:rFonts w:hint="eastAsia" w:ascii="仿宋_GB2312" w:eastAsia="仿宋_GB2312"/>
          <w:b w:val="0"/>
          <w:color w:val="auto"/>
          <w:sz w:val="32"/>
          <w:szCs w:val="32"/>
          <w:highlight w:val="none"/>
        </w:rPr>
        <w:t>。</w:t>
      </w:r>
      <w:r>
        <w:rPr>
          <w:rFonts w:hint="eastAsia" w:ascii="仿宋_GB2312" w:hAnsi="仿宋_GB2312" w:eastAsia="仿宋_GB2312" w:cs="仿宋_GB2312"/>
          <w:color w:val="auto"/>
          <w:sz w:val="32"/>
          <w:szCs w:val="32"/>
          <w:highlight w:val="none"/>
        </w:rPr>
        <w:t>全面</w:t>
      </w:r>
      <w:r>
        <w:rPr>
          <w:rFonts w:hint="eastAsia" w:ascii="仿宋_GB2312" w:eastAsia="仿宋_GB2312"/>
          <w:bCs/>
          <w:color w:val="auto"/>
          <w:sz w:val="32"/>
          <w:szCs w:val="32"/>
          <w:highlight w:val="none"/>
        </w:rPr>
        <w:t>上线运行预算管理一体化系统，县级111家预算单位和15个乡镇（街道）财政预算资金实现预算一体化系统管理全覆盖，严格预算源头控制，严禁无预算、超预算开支，严禁违规新增财政暂付款项，确保资金使用安全和流程可追溯。深入实施预算绩效管理和零基预算改革，健全预算绩效管理配套办法，制定完善行业核心绩效指标和标准，全面开展单位资金自评，完成10家单位重点支出绩效评价、9家单位部门支出整体绩效评价、99个项目预算评审，涉及资金</w:t>
      </w:r>
      <w:r>
        <w:rPr>
          <w:rFonts w:hint="eastAsia" w:ascii="仿宋_GB2312" w:eastAsia="仿宋_GB2312"/>
          <w:bCs/>
          <w:color w:val="auto"/>
          <w:sz w:val="32"/>
          <w:szCs w:val="32"/>
          <w:highlight w:val="none"/>
          <w:lang w:val="en-US" w:eastAsia="zh-CN"/>
        </w:rPr>
        <w:t>15.99</w:t>
      </w:r>
      <w:r>
        <w:rPr>
          <w:rFonts w:hint="eastAsia" w:ascii="仿宋_GB2312" w:eastAsia="仿宋_GB2312"/>
          <w:bCs/>
          <w:color w:val="auto"/>
          <w:sz w:val="32"/>
          <w:szCs w:val="32"/>
          <w:highlight w:val="none"/>
        </w:rPr>
        <w:t>亿元，切实推动财政资金使用提质增效。扎实开展财经秩序专项整治工作，发现问题5个，及时整改问题5个。全覆盖开展财政综合业务检查，下达整改通知34份，督促单位限期完成问题整改，以更有力的措施、更严格的监管为财政资金安全高效运行保驾护航。深入开展国有资产清查，</w:t>
      </w:r>
      <w:r>
        <w:rPr>
          <w:rFonts w:hint="eastAsia" w:ascii="仿宋_GB2312" w:hAnsi="仿宋_GB2312" w:eastAsia="仿宋_GB2312" w:cs="仿宋_GB2312"/>
          <w:color w:val="auto"/>
          <w:sz w:val="32"/>
          <w:szCs w:val="32"/>
          <w:highlight w:val="none"/>
        </w:rPr>
        <w:t>全面摸清国资家底和管理现状，重点督促单位整改存在问题，依法合规妥善解决遗留问题，基本实现国有资产规范化、制度化管理。</w:t>
      </w:r>
    </w:p>
    <w:p>
      <w:pPr>
        <w:suppressAutoHyphens/>
        <w:spacing w:line="540" w:lineRule="exact"/>
        <w:ind w:firstLine="640" w:firstLineChars="200"/>
        <w:jc w:val="left"/>
        <w:rPr>
          <w:rFonts w:ascii="仿宋" w:hAnsi="仿宋" w:eastAsia="仿宋" w:cs="仿宋"/>
          <w:color w:val="auto"/>
          <w:sz w:val="32"/>
          <w:szCs w:val="32"/>
          <w:highlight w:val="none"/>
        </w:rPr>
      </w:pPr>
      <w:r>
        <w:rPr>
          <w:rFonts w:hint="eastAsia" w:ascii="仿宋_GB2312" w:hAnsi="ˎ̥" w:eastAsia="仿宋_GB2312" w:cs="宋体"/>
          <w:color w:val="auto"/>
          <w:sz w:val="32"/>
          <w:szCs w:val="32"/>
          <w:highlight w:val="none"/>
        </w:rPr>
        <w:t>总的看，2022年全县财政运行基本平稳，财政改革发展各项工作继续深入推进。同时，我们也清醒地认识到，财政运行和管理还存在一些需要解决的困难和问题，主要是：支柱财源匮乏，收入增长缺乏有力支撑；综合财力不足，预算平衡难度逐年加大；暂付款居高不下，财政资金调度异常紧张；债务负担沉重，财政金融风险不容忽视；个别单位绩效意识不强，财务管理较为粗放；支出进度缓慢，“钱等项目”现象频现等。对此，我们将聚焦难点痛点，积极应对，精准施策，逐步加以解决。</w:t>
      </w:r>
    </w:p>
    <w:p>
      <w:pPr>
        <w:suppressAutoHyphens/>
        <w:spacing w:line="540" w:lineRule="exact"/>
        <w:ind w:firstLine="627" w:firstLineChars="196"/>
        <w:rPr>
          <w:rFonts w:ascii="黑体" w:hAnsi="黑体" w:eastAsia="黑体"/>
          <w:color w:val="auto"/>
          <w:sz w:val="32"/>
          <w:szCs w:val="32"/>
          <w:highlight w:val="none"/>
        </w:rPr>
      </w:pPr>
      <w:r>
        <w:rPr>
          <w:rFonts w:hint="eastAsia" w:ascii="黑体" w:hAnsi="黑体" w:eastAsia="黑体"/>
          <w:color w:val="auto"/>
          <w:sz w:val="32"/>
          <w:szCs w:val="32"/>
          <w:highlight w:val="none"/>
        </w:rPr>
        <w:t>二、2023年全县和县本级财政预算草案</w:t>
      </w:r>
    </w:p>
    <w:p>
      <w:pPr>
        <w:pStyle w:val="6"/>
        <w:widowControl w:val="0"/>
        <w:suppressAutoHyphens/>
        <w:spacing w:before="0" w:beforeAutospacing="0" w:after="0" w:afterAutospacing="0" w:line="540" w:lineRule="exact"/>
        <w:ind w:firstLine="627" w:firstLineChars="196"/>
        <w:rPr>
          <w:rFonts w:ascii="楷体_GB2312" w:eastAsia="楷体_GB2312"/>
          <w:color w:val="auto"/>
          <w:sz w:val="32"/>
          <w:szCs w:val="32"/>
          <w:highlight w:val="none"/>
        </w:rPr>
      </w:pPr>
      <w:r>
        <w:rPr>
          <w:rFonts w:hint="eastAsia" w:ascii="楷体_GB2312" w:eastAsia="楷体_GB2312"/>
          <w:color w:val="auto"/>
          <w:sz w:val="32"/>
          <w:szCs w:val="32"/>
          <w:highlight w:val="none"/>
        </w:rPr>
        <w:t>（一）2023年财政工作的指导思想</w:t>
      </w:r>
    </w:p>
    <w:p>
      <w:pPr>
        <w:pStyle w:val="6"/>
        <w:widowControl w:val="0"/>
        <w:suppressAutoHyphens/>
        <w:spacing w:before="0" w:beforeAutospacing="0" w:after="0" w:afterAutospacing="0" w:line="540" w:lineRule="exact"/>
        <w:ind w:firstLine="627" w:firstLineChars="196"/>
        <w:jc w:val="both"/>
        <w:rPr>
          <w:rFonts w:ascii="仿宋_GB2312" w:eastAsia="仿宋_GB2312"/>
          <w:color w:val="auto"/>
          <w:spacing w:val="-2"/>
          <w:sz w:val="32"/>
          <w:szCs w:val="32"/>
          <w:highlight w:val="none"/>
        </w:rPr>
      </w:pPr>
      <w:r>
        <w:rPr>
          <w:rFonts w:hint="eastAsia" w:ascii="仿宋_GB2312" w:hAnsi="仿宋" w:eastAsia="仿宋_GB2312"/>
          <w:color w:val="auto"/>
          <w:sz w:val="32"/>
          <w:szCs w:val="32"/>
          <w:highlight w:val="none"/>
        </w:rPr>
        <w:t>以习近平新时代中国特色社会主义思想为指导，全面贯彻落实党的</w:t>
      </w:r>
      <w:r>
        <w:rPr>
          <w:rFonts w:hint="eastAsia" w:ascii="仿宋_GB2312" w:eastAsia="仿宋_GB2312"/>
          <w:color w:val="auto"/>
          <w:sz w:val="32"/>
          <w:szCs w:val="32"/>
          <w:highlight w:val="none"/>
        </w:rPr>
        <w:t>二十大精神</w:t>
      </w:r>
      <w:r>
        <w:rPr>
          <w:rFonts w:hint="eastAsia" w:ascii="仿宋_GB2312" w:hAnsi="仿宋" w:eastAsia="仿宋_GB2312"/>
          <w:color w:val="auto"/>
          <w:sz w:val="32"/>
          <w:szCs w:val="32"/>
          <w:highlight w:val="none"/>
        </w:rPr>
        <w:t>和省委、市委、县委全会精神，坚持党对财政工作的全面领导；按照中央、省、市、县经济工作会议要求，坚持稳字当头、稳中求进，继续实施积极的财政政策，更好统筹疫情防控和经济社会发展，更好统筹发展和安全；紧紧围绕县委决策部署，集中财力支持新型工业化、新型城镇化、农业现代化和旅游产业化；</w:t>
      </w:r>
      <w:r>
        <w:rPr>
          <w:rFonts w:hint="eastAsia" w:ascii="仿宋_GB2312" w:hAnsi="Verdana" w:eastAsia="仿宋_GB2312"/>
          <w:color w:val="auto"/>
          <w:spacing w:val="-2"/>
          <w:sz w:val="32"/>
          <w:szCs w:val="32"/>
          <w:highlight w:val="none"/>
        </w:rPr>
        <w:t>纵深推进财政体制改革，调整</w:t>
      </w:r>
      <w:r>
        <w:rPr>
          <w:rFonts w:hint="eastAsia" w:ascii="仿宋_GB2312" w:eastAsia="仿宋_GB2312"/>
          <w:color w:val="auto"/>
          <w:spacing w:val="-2"/>
          <w:sz w:val="32"/>
          <w:szCs w:val="32"/>
          <w:highlight w:val="none"/>
        </w:rPr>
        <w:t>优化支出结构，注重财政资金提质增效，促进经济持续健康发展和社会和谐稳定。</w:t>
      </w:r>
    </w:p>
    <w:p>
      <w:pPr>
        <w:pStyle w:val="6"/>
        <w:widowControl w:val="0"/>
        <w:suppressAutoHyphens/>
        <w:spacing w:before="0" w:beforeAutospacing="0" w:after="0" w:afterAutospacing="0" w:line="540" w:lineRule="exact"/>
        <w:ind w:firstLine="640" w:firstLineChars="200"/>
        <w:jc w:val="both"/>
        <w:rPr>
          <w:rFonts w:ascii="楷体_GB2312" w:eastAsia="楷体_GB2312"/>
          <w:color w:val="auto"/>
          <w:sz w:val="32"/>
          <w:szCs w:val="32"/>
          <w:highlight w:val="none"/>
        </w:rPr>
      </w:pPr>
      <w:r>
        <w:rPr>
          <w:rFonts w:hint="eastAsia" w:ascii="楷体_GB2312" w:eastAsia="楷体_GB2312"/>
          <w:color w:val="auto"/>
          <w:sz w:val="32"/>
          <w:szCs w:val="32"/>
          <w:highlight w:val="none"/>
        </w:rPr>
        <w:t>（二）2023年财政预算安排的基本原则</w:t>
      </w:r>
    </w:p>
    <w:p>
      <w:pPr>
        <w:pStyle w:val="6"/>
        <w:widowControl w:val="0"/>
        <w:suppressAutoHyphens/>
        <w:spacing w:before="0" w:beforeAutospacing="0" w:after="0" w:afterAutospacing="0" w:line="540" w:lineRule="exact"/>
        <w:ind w:firstLine="624" w:firstLineChars="200"/>
        <w:jc w:val="both"/>
        <w:rPr>
          <w:rFonts w:ascii="仿宋_GB2312" w:hAnsi="Arial" w:eastAsia="仿宋_GB2312" w:cs="Arial"/>
          <w:color w:val="auto"/>
          <w:spacing w:val="-4"/>
          <w:sz w:val="32"/>
          <w:szCs w:val="32"/>
          <w:highlight w:val="none"/>
        </w:rPr>
      </w:pPr>
      <w:r>
        <w:rPr>
          <w:rFonts w:hint="eastAsia" w:ascii="仿宋_GB2312" w:eastAsia="仿宋_GB2312"/>
          <w:color w:val="auto"/>
          <w:spacing w:val="-4"/>
          <w:sz w:val="32"/>
          <w:szCs w:val="32"/>
          <w:highlight w:val="none"/>
        </w:rPr>
        <w:t>收入预算安排坚持“优化结构，提高质量，实事求是，积极稳妥”的原则；支出预算安排坚持“保基本民生、保工资、保运转、防风险、保稳定”</w:t>
      </w:r>
      <w:r>
        <w:rPr>
          <w:rFonts w:hint="eastAsia" w:ascii="仿宋_GB2312" w:eastAsia="仿宋_GB2312"/>
          <w:color w:val="auto"/>
          <w:sz w:val="32"/>
          <w:szCs w:val="32"/>
          <w:highlight w:val="none"/>
        </w:rPr>
        <w:t>和“</w:t>
      </w:r>
      <w:r>
        <w:rPr>
          <w:rFonts w:hint="eastAsia" w:ascii="仿宋_GB2312" w:eastAsia="仿宋_GB2312"/>
          <w:color w:val="auto"/>
          <w:spacing w:val="-4"/>
          <w:sz w:val="32"/>
          <w:szCs w:val="32"/>
          <w:highlight w:val="none"/>
        </w:rPr>
        <w:t>量力而行</w:t>
      </w:r>
      <w:r>
        <w:rPr>
          <w:rFonts w:hint="eastAsia" w:ascii="仿宋_GB2312" w:eastAsia="仿宋_GB2312"/>
          <w:color w:val="auto"/>
          <w:sz w:val="32"/>
          <w:szCs w:val="32"/>
          <w:highlight w:val="none"/>
        </w:rPr>
        <w:t>、勤俭节约、统筹兼顾、有保有压、讲求绩效”</w:t>
      </w:r>
      <w:r>
        <w:rPr>
          <w:rFonts w:hint="eastAsia" w:ascii="仿宋_GB2312" w:eastAsia="仿宋_GB2312"/>
          <w:color w:val="auto"/>
          <w:spacing w:val="-4"/>
          <w:sz w:val="32"/>
          <w:szCs w:val="32"/>
          <w:highlight w:val="none"/>
        </w:rPr>
        <w:t>的原则，优先安排基本民生、人员工资、办公运转、法定配套、偿债和重点项目建设等资金需求，做到量入为出、突出重点，切实提高财政资金使用效益。</w:t>
      </w:r>
    </w:p>
    <w:p>
      <w:pPr>
        <w:pStyle w:val="6"/>
        <w:widowControl w:val="0"/>
        <w:suppressAutoHyphens/>
        <w:spacing w:before="0" w:beforeAutospacing="0" w:after="0" w:afterAutospacing="0" w:line="540" w:lineRule="exact"/>
        <w:ind w:firstLine="627" w:firstLineChars="196"/>
        <w:jc w:val="both"/>
        <w:rPr>
          <w:rFonts w:ascii="楷体_GB2312" w:hAnsi="仿宋" w:eastAsia="楷体_GB2312"/>
          <w:color w:val="auto"/>
          <w:sz w:val="32"/>
          <w:szCs w:val="32"/>
          <w:highlight w:val="none"/>
        </w:rPr>
      </w:pPr>
      <w:r>
        <w:rPr>
          <w:rFonts w:hint="eastAsia" w:ascii="楷体_GB2312" w:hAnsi="仿宋" w:eastAsia="楷体_GB2312"/>
          <w:color w:val="auto"/>
          <w:sz w:val="32"/>
          <w:szCs w:val="32"/>
          <w:highlight w:val="none"/>
        </w:rPr>
        <w:t>（三）2023年财政预算草案</w:t>
      </w:r>
    </w:p>
    <w:p>
      <w:pPr>
        <w:pStyle w:val="6"/>
        <w:widowControl w:val="0"/>
        <w:suppressAutoHyphens/>
        <w:spacing w:before="0" w:beforeAutospacing="0" w:after="0" w:afterAutospacing="0" w:line="540" w:lineRule="exact"/>
        <w:ind w:firstLine="630" w:firstLineChars="196"/>
        <w:jc w:val="both"/>
        <w:rPr>
          <w:rFonts w:ascii="仿宋_GB2312" w:hAnsi="仿宋" w:eastAsia="仿宋_GB2312"/>
          <w:b/>
          <w:color w:val="auto"/>
          <w:sz w:val="32"/>
          <w:szCs w:val="32"/>
          <w:highlight w:val="none"/>
        </w:rPr>
      </w:pPr>
      <w:r>
        <w:rPr>
          <w:rFonts w:ascii="仿宋_GB2312" w:hAnsi="仿宋" w:eastAsia="仿宋_GB2312"/>
          <w:b/>
          <w:color w:val="auto"/>
          <w:sz w:val="32"/>
          <w:szCs w:val="32"/>
          <w:highlight w:val="none"/>
        </w:rPr>
        <w:t>1.全县一般公共预算安排情况</w:t>
      </w:r>
    </w:p>
    <w:p>
      <w:pPr>
        <w:spacing w:line="540" w:lineRule="exact"/>
        <w:ind w:firstLine="646"/>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全县财政总收入预算安排76,</w:t>
      </w:r>
      <w:r>
        <w:rPr>
          <w:rFonts w:hint="eastAsia" w:ascii="仿宋_GB2312" w:hAnsi="仿宋" w:eastAsia="仿宋_GB2312"/>
          <w:color w:val="auto"/>
          <w:sz w:val="32"/>
          <w:szCs w:val="32"/>
          <w:highlight w:val="none"/>
          <w:lang w:val="en-US" w:eastAsia="zh-CN"/>
        </w:rPr>
        <w:t>9</w:t>
      </w:r>
      <w:r>
        <w:rPr>
          <w:rFonts w:hint="eastAsia" w:ascii="仿宋_GB2312" w:hAnsi="仿宋" w:eastAsia="仿宋_GB2312"/>
          <w:color w:val="auto"/>
          <w:sz w:val="32"/>
          <w:szCs w:val="32"/>
          <w:highlight w:val="none"/>
        </w:rPr>
        <w:t>00万元，比2022年完成数72,</w:t>
      </w:r>
      <w:r>
        <w:rPr>
          <w:rFonts w:hint="eastAsia" w:ascii="仿宋_GB2312" w:hAnsi="仿宋" w:eastAsia="仿宋_GB2312"/>
          <w:color w:val="auto"/>
          <w:sz w:val="32"/>
          <w:szCs w:val="32"/>
          <w:highlight w:val="none"/>
          <w:lang w:val="en-US" w:eastAsia="zh-CN"/>
        </w:rPr>
        <w:t>531</w:t>
      </w:r>
      <w:r>
        <w:rPr>
          <w:rFonts w:hint="eastAsia" w:ascii="仿宋_GB2312" w:hAnsi="仿宋" w:eastAsia="仿宋_GB2312"/>
          <w:color w:val="auto"/>
          <w:sz w:val="32"/>
          <w:szCs w:val="32"/>
          <w:highlight w:val="none"/>
        </w:rPr>
        <w:t>万元，增长6.</w:t>
      </w:r>
      <w:r>
        <w:rPr>
          <w:rFonts w:hint="eastAsia" w:ascii="仿宋_GB2312" w:hAnsi="仿宋" w:eastAsia="仿宋_GB2312"/>
          <w:color w:val="auto"/>
          <w:sz w:val="32"/>
          <w:szCs w:val="32"/>
          <w:highlight w:val="none"/>
          <w:lang w:val="en-US" w:eastAsia="zh-CN"/>
        </w:rPr>
        <w:t>02</w:t>
      </w:r>
      <w:r>
        <w:rPr>
          <w:rFonts w:hint="eastAsia" w:ascii="仿宋_GB2312" w:hAnsi="仿宋" w:eastAsia="仿宋_GB2312"/>
          <w:color w:val="auto"/>
          <w:sz w:val="32"/>
          <w:szCs w:val="32"/>
          <w:highlight w:val="none"/>
        </w:rPr>
        <w:t>%，增收4,</w:t>
      </w:r>
      <w:r>
        <w:rPr>
          <w:rFonts w:hint="eastAsia" w:ascii="仿宋_GB2312" w:hAnsi="仿宋" w:eastAsia="仿宋_GB2312"/>
          <w:color w:val="auto"/>
          <w:sz w:val="32"/>
          <w:szCs w:val="32"/>
          <w:highlight w:val="none"/>
          <w:lang w:val="en-US" w:eastAsia="zh-CN"/>
        </w:rPr>
        <w:t>369</w:t>
      </w:r>
      <w:r>
        <w:rPr>
          <w:rFonts w:hint="eastAsia" w:ascii="仿宋_GB2312" w:hAnsi="仿宋" w:eastAsia="仿宋_GB2312"/>
          <w:color w:val="auto"/>
          <w:sz w:val="32"/>
          <w:szCs w:val="32"/>
          <w:highlight w:val="none"/>
        </w:rPr>
        <w:t>万元。其中：税务部门7</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00万元，增长</w:t>
      </w:r>
      <w:r>
        <w:rPr>
          <w:rFonts w:hint="eastAsia" w:ascii="仿宋_GB2312" w:hAnsi="仿宋" w:eastAsia="仿宋_GB2312"/>
          <w:color w:val="auto"/>
          <w:sz w:val="32"/>
          <w:szCs w:val="32"/>
          <w:highlight w:val="none"/>
          <w:lang w:val="en-US" w:eastAsia="zh-CN"/>
        </w:rPr>
        <w:t>10.15</w:t>
      </w:r>
      <w:r>
        <w:rPr>
          <w:rFonts w:hint="eastAsia" w:ascii="仿宋_GB2312" w:hAnsi="仿宋" w:eastAsia="仿宋_GB2312"/>
          <w:color w:val="auto"/>
          <w:sz w:val="32"/>
          <w:szCs w:val="32"/>
          <w:highlight w:val="none"/>
        </w:rPr>
        <w:t>%，增</w:t>
      </w:r>
      <w:r>
        <w:rPr>
          <w:rFonts w:hint="eastAsia" w:ascii="仿宋_GB2312" w:hAnsi="仿宋" w:eastAsia="仿宋_GB2312"/>
          <w:color w:val="auto"/>
          <w:sz w:val="32"/>
          <w:szCs w:val="32"/>
          <w:highlight w:val="none"/>
          <w:lang w:val="en-US" w:eastAsia="zh-CN"/>
        </w:rPr>
        <w:t>收6,645</w:t>
      </w:r>
      <w:r>
        <w:rPr>
          <w:rFonts w:hint="eastAsia" w:ascii="仿宋_GB2312" w:hAnsi="仿宋" w:eastAsia="仿宋_GB2312"/>
          <w:color w:val="auto"/>
          <w:sz w:val="32"/>
          <w:szCs w:val="32"/>
          <w:highlight w:val="none"/>
        </w:rPr>
        <w:t>万元；财政部门4,</w:t>
      </w:r>
      <w:r>
        <w:rPr>
          <w:rFonts w:hint="eastAsia" w:ascii="仿宋_GB2312" w:hAnsi="仿宋" w:eastAsia="仿宋_GB2312"/>
          <w:color w:val="auto"/>
          <w:sz w:val="32"/>
          <w:szCs w:val="32"/>
          <w:highlight w:val="none"/>
          <w:lang w:val="en-US" w:eastAsia="zh-CN"/>
        </w:rPr>
        <w:t>8</w:t>
      </w:r>
      <w:r>
        <w:rPr>
          <w:rFonts w:hint="eastAsia" w:ascii="仿宋_GB2312" w:hAnsi="仿宋" w:eastAsia="仿宋_GB2312"/>
          <w:color w:val="auto"/>
          <w:sz w:val="32"/>
          <w:szCs w:val="32"/>
          <w:highlight w:val="none"/>
        </w:rPr>
        <w:t>00万元，下降</w:t>
      </w:r>
      <w:r>
        <w:rPr>
          <w:rFonts w:hint="eastAsia" w:ascii="仿宋_GB2312" w:hAnsi="仿宋" w:eastAsia="仿宋_GB2312"/>
          <w:color w:val="auto"/>
          <w:sz w:val="32"/>
          <w:szCs w:val="32"/>
          <w:highlight w:val="none"/>
          <w:lang w:val="en-US" w:eastAsia="zh-CN"/>
        </w:rPr>
        <w:t>32.16%</w:t>
      </w:r>
      <w:r>
        <w:rPr>
          <w:rFonts w:hint="eastAsia" w:ascii="仿宋_GB2312" w:hAnsi="仿宋" w:eastAsia="仿宋_GB2312"/>
          <w:color w:val="auto"/>
          <w:sz w:val="32"/>
          <w:szCs w:val="32"/>
          <w:highlight w:val="none"/>
        </w:rPr>
        <w:t>，减收</w:t>
      </w:r>
      <w:r>
        <w:rPr>
          <w:rFonts w:hint="eastAsia" w:ascii="仿宋_GB2312" w:hAnsi="仿宋" w:eastAsia="仿宋_GB2312"/>
          <w:color w:val="auto"/>
          <w:sz w:val="32"/>
          <w:szCs w:val="32"/>
          <w:highlight w:val="none"/>
          <w:lang w:val="en-US" w:eastAsia="zh-CN"/>
        </w:rPr>
        <w:t>2,276</w:t>
      </w:r>
      <w:r>
        <w:rPr>
          <w:rFonts w:hint="eastAsia" w:ascii="仿宋_GB2312" w:hAnsi="仿宋" w:eastAsia="仿宋_GB2312"/>
          <w:color w:val="auto"/>
          <w:sz w:val="32"/>
          <w:szCs w:val="32"/>
          <w:highlight w:val="none"/>
        </w:rPr>
        <w:t>万元。一般公共预算收入安排</w:t>
      </w:r>
      <w:r>
        <w:rPr>
          <w:rFonts w:hint="eastAsia" w:ascii="仿宋_GB2312" w:hAnsi="仿宋" w:eastAsia="仿宋_GB2312"/>
          <w:color w:val="auto"/>
          <w:sz w:val="32"/>
          <w:szCs w:val="32"/>
          <w:highlight w:val="none"/>
          <w:lang w:val="en-US" w:eastAsia="zh-CN"/>
        </w:rPr>
        <w:t>42,500</w:t>
      </w:r>
      <w:r>
        <w:rPr>
          <w:rFonts w:hint="eastAsia" w:ascii="仿宋_GB2312" w:hAnsi="仿宋" w:eastAsia="仿宋_GB2312"/>
          <w:color w:val="auto"/>
          <w:sz w:val="32"/>
          <w:szCs w:val="32"/>
          <w:highlight w:val="none"/>
        </w:rPr>
        <w:t>万元，比2022年完成数</w:t>
      </w:r>
      <w:r>
        <w:rPr>
          <w:rFonts w:hint="eastAsia" w:ascii="仿宋_GB2312" w:eastAsia="仿宋_GB2312"/>
          <w:color w:val="auto"/>
          <w:sz w:val="32"/>
          <w:szCs w:val="32"/>
          <w:highlight w:val="none"/>
          <w:lang w:val="en-US" w:eastAsia="zh-CN"/>
        </w:rPr>
        <w:t>40,073</w:t>
      </w:r>
      <w:r>
        <w:rPr>
          <w:rFonts w:hint="eastAsia" w:ascii="仿宋_GB2312" w:hAnsi="仿宋" w:eastAsia="仿宋_GB2312"/>
          <w:color w:val="auto"/>
          <w:sz w:val="32"/>
          <w:szCs w:val="32"/>
          <w:highlight w:val="none"/>
        </w:rPr>
        <w:t>万元，增长</w:t>
      </w:r>
      <w:r>
        <w:rPr>
          <w:rFonts w:hint="eastAsia" w:ascii="仿宋_GB2312" w:hAnsi="仿宋" w:eastAsia="仿宋_GB2312"/>
          <w:color w:val="auto"/>
          <w:sz w:val="32"/>
          <w:szCs w:val="32"/>
          <w:highlight w:val="none"/>
          <w:lang w:val="en-US" w:eastAsia="zh-CN"/>
        </w:rPr>
        <w:t>6.06%</w:t>
      </w:r>
      <w:r>
        <w:rPr>
          <w:rFonts w:hint="eastAsia" w:ascii="仿宋_GB2312" w:hAnsi="仿宋" w:eastAsia="仿宋_GB2312"/>
          <w:color w:val="auto"/>
          <w:sz w:val="32"/>
          <w:szCs w:val="32"/>
          <w:highlight w:val="none"/>
        </w:rPr>
        <w:t>，增收</w:t>
      </w:r>
      <w:r>
        <w:rPr>
          <w:rFonts w:hint="eastAsia" w:ascii="仿宋_GB2312" w:hAnsi="仿宋" w:eastAsia="仿宋_GB2312"/>
          <w:color w:val="auto"/>
          <w:sz w:val="32"/>
          <w:szCs w:val="32"/>
          <w:highlight w:val="none"/>
          <w:lang w:val="en-US" w:eastAsia="zh-CN"/>
        </w:rPr>
        <w:t>2,427</w:t>
      </w:r>
      <w:r>
        <w:rPr>
          <w:rFonts w:hint="eastAsia" w:ascii="仿宋_GB2312" w:hAnsi="仿宋" w:eastAsia="仿宋_GB2312"/>
          <w:color w:val="auto"/>
          <w:sz w:val="32"/>
          <w:szCs w:val="32"/>
          <w:highlight w:val="none"/>
        </w:rPr>
        <w:t>万元。其中：税务部门</w:t>
      </w:r>
      <w:r>
        <w:rPr>
          <w:rFonts w:hint="eastAsia" w:ascii="仿宋_GB2312" w:hAnsi="仿宋" w:eastAsia="仿宋_GB2312"/>
          <w:color w:val="auto"/>
          <w:sz w:val="32"/>
          <w:szCs w:val="32"/>
          <w:highlight w:val="none"/>
          <w:lang w:val="en-US" w:eastAsia="zh-CN"/>
        </w:rPr>
        <w:t>37,700</w:t>
      </w:r>
      <w:r>
        <w:rPr>
          <w:rFonts w:hint="eastAsia" w:ascii="仿宋_GB2312" w:hAnsi="仿宋" w:eastAsia="仿宋_GB2312"/>
          <w:color w:val="auto"/>
          <w:sz w:val="32"/>
          <w:szCs w:val="32"/>
          <w:highlight w:val="none"/>
        </w:rPr>
        <w:t>万元，增长</w:t>
      </w:r>
      <w:r>
        <w:rPr>
          <w:rFonts w:hint="eastAsia" w:ascii="仿宋_GB2312" w:hAnsi="仿宋" w:eastAsia="仿宋_GB2312"/>
          <w:color w:val="auto"/>
          <w:sz w:val="32"/>
          <w:szCs w:val="32"/>
          <w:highlight w:val="none"/>
          <w:lang w:val="en-US" w:eastAsia="zh-CN"/>
        </w:rPr>
        <w:t>6.02%</w:t>
      </w:r>
      <w:r>
        <w:rPr>
          <w:rFonts w:hint="eastAsia" w:ascii="仿宋_GB2312" w:hAnsi="仿宋" w:eastAsia="仿宋_GB2312"/>
          <w:color w:val="auto"/>
          <w:sz w:val="32"/>
          <w:szCs w:val="32"/>
          <w:highlight w:val="none"/>
        </w:rPr>
        <w:t>，增收</w:t>
      </w:r>
      <w:r>
        <w:rPr>
          <w:rFonts w:hint="eastAsia" w:ascii="仿宋_GB2312" w:hAnsi="仿宋" w:eastAsia="仿宋_GB2312"/>
          <w:color w:val="auto"/>
          <w:sz w:val="32"/>
          <w:szCs w:val="32"/>
          <w:highlight w:val="none"/>
          <w:lang w:val="en-US" w:eastAsia="zh-CN"/>
        </w:rPr>
        <w:t>2,139</w:t>
      </w:r>
      <w:r>
        <w:rPr>
          <w:rFonts w:hint="eastAsia" w:ascii="仿宋_GB2312" w:hAnsi="仿宋" w:eastAsia="仿宋_GB2312"/>
          <w:color w:val="auto"/>
          <w:sz w:val="32"/>
          <w:szCs w:val="32"/>
          <w:highlight w:val="none"/>
        </w:rPr>
        <w:t>万元；财政部门</w:t>
      </w:r>
      <w:r>
        <w:rPr>
          <w:rFonts w:hint="eastAsia" w:ascii="仿宋_GB2312" w:hAnsi="仿宋" w:eastAsia="仿宋_GB2312"/>
          <w:color w:val="auto"/>
          <w:sz w:val="32"/>
          <w:szCs w:val="32"/>
          <w:highlight w:val="none"/>
          <w:lang w:val="en-US" w:eastAsia="zh-CN"/>
        </w:rPr>
        <w:t>4,800</w:t>
      </w:r>
      <w:r>
        <w:rPr>
          <w:rFonts w:hint="eastAsia" w:ascii="仿宋_GB2312" w:hAnsi="仿宋" w:eastAsia="仿宋_GB2312"/>
          <w:color w:val="auto"/>
          <w:sz w:val="32"/>
          <w:szCs w:val="32"/>
          <w:highlight w:val="none"/>
        </w:rPr>
        <w:t>万元，增长</w:t>
      </w:r>
      <w:r>
        <w:rPr>
          <w:rFonts w:hint="eastAsia" w:ascii="仿宋_GB2312" w:hAnsi="仿宋" w:eastAsia="仿宋_GB2312"/>
          <w:color w:val="auto"/>
          <w:sz w:val="32"/>
          <w:szCs w:val="32"/>
          <w:highlight w:val="none"/>
          <w:lang w:val="en-US" w:eastAsia="zh-CN"/>
        </w:rPr>
        <w:t>6.38%</w:t>
      </w:r>
      <w:r>
        <w:rPr>
          <w:rFonts w:hint="eastAsia" w:ascii="仿宋_GB2312" w:hAnsi="仿宋" w:eastAsia="仿宋_GB2312"/>
          <w:color w:val="auto"/>
          <w:sz w:val="32"/>
          <w:szCs w:val="32"/>
          <w:highlight w:val="none"/>
        </w:rPr>
        <w:t>，增收</w:t>
      </w:r>
      <w:r>
        <w:rPr>
          <w:rFonts w:hint="eastAsia" w:ascii="仿宋_GB2312" w:hAnsi="仿宋" w:eastAsia="仿宋_GB2312"/>
          <w:color w:val="auto"/>
          <w:sz w:val="32"/>
          <w:szCs w:val="32"/>
          <w:highlight w:val="none"/>
          <w:lang w:val="en-US" w:eastAsia="zh-CN"/>
        </w:rPr>
        <w:t>288</w:t>
      </w:r>
      <w:r>
        <w:rPr>
          <w:rFonts w:hint="eastAsia" w:ascii="仿宋_GB2312" w:hAnsi="仿宋" w:eastAsia="仿宋_GB2312"/>
          <w:color w:val="auto"/>
          <w:sz w:val="32"/>
          <w:szCs w:val="32"/>
          <w:highlight w:val="none"/>
        </w:rPr>
        <w:t>万元。</w:t>
      </w:r>
    </w:p>
    <w:p>
      <w:pPr>
        <w:suppressAutoHyphens/>
        <w:spacing w:line="540" w:lineRule="exact"/>
        <w:ind w:firstLine="640" w:firstLineChars="200"/>
        <w:rPr>
          <w:rFonts w:hint="default" w:ascii="仿宋_GB2312" w:eastAsia="仿宋_GB2312"/>
          <w:color w:val="auto"/>
          <w:spacing w:val="-4"/>
          <w:sz w:val="32"/>
          <w:szCs w:val="32"/>
          <w:highlight w:val="none"/>
          <w:lang w:val="en-US" w:eastAsia="zh-CN"/>
        </w:rPr>
      </w:pPr>
      <w:r>
        <w:rPr>
          <w:rFonts w:hint="eastAsia" w:ascii="仿宋_GB2312" w:eastAsia="仿宋_GB2312"/>
          <w:color w:val="auto"/>
          <w:sz w:val="32"/>
          <w:szCs w:val="32"/>
          <w:highlight w:val="none"/>
        </w:rPr>
        <w:t>全县一般公共预算支出安排</w:t>
      </w:r>
      <w:r>
        <w:rPr>
          <w:rFonts w:hint="eastAsia" w:ascii="仿宋_GB2312" w:eastAsia="仿宋_GB2312"/>
          <w:color w:val="auto"/>
          <w:sz w:val="32"/>
          <w:szCs w:val="32"/>
          <w:highlight w:val="none"/>
          <w:lang w:val="en-US" w:eastAsia="zh-CN"/>
        </w:rPr>
        <w:t>290,527</w:t>
      </w:r>
      <w:r>
        <w:rPr>
          <w:rFonts w:hint="eastAsia" w:ascii="仿宋_GB2312" w:eastAsia="仿宋_GB2312"/>
          <w:color w:val="auto"/>
          <w:sz w:val="32"/>
          <w:szCs w:val="32"/>
          <w:highlight w:val="none"/>
        </w:rPr>
        <w:t>万元，比上年年初预算（下同）</w:t>
      </w:r>
      <w:r>
        <w:rPr>
          <w:rFonts w:hint="eastAsia" w:ascii="仿宋_GB2312" w:eastAsia="仿宋_GB2312"/>
          <w:color w:val="auto"/>
          <w:sz w:val="32"/>
          <w:szCs w:val="32"/>
          <w:highlight w:val="none"/>
          <w:lang w:eastAsia="zh-CN"/>
        </w:rPr>
        <w:t>增加</w:t>
      </w:r>
      <w:r>
        <w:rPr>
          <w:rFonts w:hint="eastAsia" w:ascii="仿宋_GB2312" w:eastAsia="仿宋_GB2312"/>
          <w:color w:val="auto"/>
          <w:sz w:val="32"/>
          <w:szCs w:val="32"/>
          <w:highlight w:val="none"/>
          <w:lang w:val="en-US" w:eastAsia="zh-CN"/>
        </w:rPr>
        <w:t>9,668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增长</w:t>
      </w:r>
      <w:r>
        <w:rPr>
          <w:rFonts w:hint="eastAsia" w:ascii="仿宋_GB2312" w:eastAsia="仿宋_GB2312"/>
          <w:color w:val="auto"/>
          <w:sz w:val="32"/>
          <w:szCs w:val="32"/>
          <w:highlight w:val="none"/>
          <w:lang w:val="en-US" w:eastAsia="zh-CN"/>
        </w:rPr>
        <w:t>3.44%</w:t>
      </w:r>
      <w:r>
        <w:rPr>
          <w:rFonts w:hint="eastAsia" w:ascii="仿宋_GB2312" w:eastAsia="仿宋_GB2312"/>
          <w:color w:val="auto"/>
          <w:sz w:val="32"/>
          <w:szCs w:val="32"/>
          <w:highlight w:val="none"/>
        </w:rPr>
        <w:t>。其中：人员经费安排</w:t>
      </w:r>
      <w:r>
        <w:rPr>
          <w:rFonts w:hint="eastAsia" w:ascii="仿宋_GB2312" w:eastAsia="仿宋_GB2312"/>
          <w:color w:val="auto"/>
          <w:sz w:val="32"/>
          <w:szCs w:val="32"/>
          <w:highlight w:val="none"/>
          <w:lang w:val="en-US" w:eastAsia="zh-CN"/>
        </w:rPr>
        <w:t>158,506</w:t>
      </w:r>
      <w:r>
        <w:rPr>
          <w:rFonts w:hint="eastAsia" w:ascii="仿宋_GB2312" w:eastAsia="仿宋_GB2312"/>
          <w:color w:val="auto"/>
          <w:sz w:val="32"/>
          <w:szCs w:val="32"/>
          <w:highlight w:val="none"/>
        </w:rPr>
        <w:t>万元，增加</w:t>
      </w:r>
      <w:r>
        <w:rPr>
          <w:rFonts w:hint="eastAsia" w:ascii="仿宋_GB2312" w:eastAsia="仿宋_GB2312"/>
          <w:color w:val="auto"/>
          <w:sz w:val="32"/>
          <w:szCs w:val="32"/>
          <w:highlight w:val="none"/>
          <w:lang w:val="en-US" w:eastAsia="zh-CN"/>
        </w:rPr>
        <w:t>10,009</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6.74%</w:t>
      </w:r>
      <w:r>
        <w:rPr>
          <w:rFonts w:hint="eastAsia" w:ascii="仿宋_GB2312" w:eastAsia="仿宋_GB2312"/>
          <w:color w:val="auto"/>
          <w:sz w:val="32"/>
          <w:szCs w:val="32"/>
          <w:highlight w:val="none"/>
        </w:rPr>
        <w:t>；公用经费安排</w:t>
      </w:r>
      <w:r>
        <w:rPr>
          <w:rFonts w:hint="eastAsia" w:ascii="仿宋_GB2312" w:eastAsia="仿宋_GB2312"/>
          <w:color w:val="auto"/>
          <w:sz w:val="32"/>
          <w:szCs w:val="32"/>
          <w:highlight w:val="none"/>
          <w:lang w:val="en-US" w:eastAsia="zh-CN"/>
        </w:rPr>
        <w:t>4,103</w:t>
      </w:r>
      <w:r>
        <w:rPr>
          <w:rFonts w:hint="eastAsia" w:ascii="仿宋_GB2312" w:eastAsia="仿宋_GB2312"/>
          <w:color w:val="auto"/>
          <w:sz w:val="32"/>
          <w:szCs w:val="32"/>
          <w:highlight w:val="none"/>
        </w:rPr>
        <w:t>万元，增加</w:t>
      </w:r>
      <w:r>
        <w:rPr>
          <w:rFonts w:hint="eastAsia" w:ascii="仿宋_GB2312" w:eastAsia="仿宋_GB2312"/>
          <w:color w:val="auto"/>
          <w:sz w:val="32"/>
          <w:szCs w:val="32"/>
          <w:highlight w:val="none"/>
          <w:lang w:val="en-US" w:eastAsia="zh-CN"/>
        </w:rPr>
        <w:t>210</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5.39%</w:t>
      </w:r>
      <w:r>
        <w:rPr>
          <w:rFonts w:hint="eastAsia" w:ascii="仿宋_GB2312" w:eastAsia="仿宋_GB2312"/>
          <w:color w:val="auto"/>
          <w:sz w:val="32"/>
          <w:szCs w:val="32"/>
          <w:highlight w:val="none"/>
        </w:rPr>
        <w:t>；专项经费安排</w:t>
      </w:r>
      <w:r>
        <w:rPr>
          <w:rFonts w:hint="eastAsia" w:ascii="仿宋_GB2312" w:eastAsia="仿宋_GB2312"/>
          <w:color w:val="auto"/>
          <w:sz w:val="32"/>
          <w:szCs w:val="32"/>
          <w:highlight w:val="none"/>
          <w:lang w:val="en-US" w:eastAsia="zh-CN"/>
        </w:rPr>
        <w:t>88,534</w:t>
      </w:r>
      <w:r>
        <w:rPr>
          <w:rFonts w:hint="eastAsia" w:ascii="仿宋_GB2312" w:eastAsia="仿宋_GB2312"/>
          <w:color w:val="auto"/>
          <w:sz w:val="32"/>
          <w:szCs w:val="32"/>
          <w:highlight w:val="none"/>
        </w:rPr>
        <w:t>万元，减少</w:t>
      </w:r>
      <w:r>
        <w:rPr>
          <w:rFonts w:hint="eastAsia" w:ascii="仿宋_GB2312" w:eastAsia="仿宋_GB2312"/>
          <w:color w:val="auto"/>
          <w:sz w:val="32"/>
          <w:szCs w:val="32"/>
          <w:highlight w:val="none"/>
          <w:lang w:val="en-US" w:eastAsia="zh-CN"/>
        </w:rPr>
        <w:t>7,483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7.79%</w:t>
      </w:r>
      <w:r>
        <w:rPr>
          <w:rFonts w:hint="eastAsia" w:ascii="仿宋_GB2312" w:eastAsia="仿宋_GB2312"/>
          <w:color w:val="auto"/>
          <w:sz w:val="32"/>
          <w:szCs w:val="32"/>
          <w:highlight w:val="none"/>
        </w:rPr>
        <w:t>，主要是按照上级要求对上级未提前下达的项目性转移支付不再预估纳入年初预算编制；预备费安排</w:t>
      </w:r>
      <w:r>
        <w:rPr>
          <w:rFonts w:hint="eastAsia" w:ascii="仿宋_GB2312" w:eastAsia="仿宋_GB2312"/>
          <w:color w:val="auto"/>
          <w:sz w:val="32"/>
          <w:szCs w:val="32"/>
          <w:highlight w:val="none"/>
          <w:lang w:val="en-US" w:eastAsia="zh-CN"/>
        </w:rPr>
        <w:t>5,054</w:t>
      </w:r>
      <w:r>
        <w:rPr>
          <w:rFonts w:hint="eastAsia" w:ascii="仿宋_GB2312" w:eastAsia="仿宋_GB2312"/>
          <w:color w:val="auto"/>
          <w:sz w:val="32"/>
          <w:szCs w:val="32"/>
          <w:highlight w:val="none"/>
        </w:rPr>
        <w:t>万元，增加</w:t>
      </w:r>
      <w:r>
        <w:rPr>
          <w:rFonts w:hint="eastAsia" w:ascii="仿宋_GB2312" w:eastAsia="仿宋_GB2312"/>
          <w:color w:val="auto"/>
          <w:sz w:val="32"/>
          <w:szCs w:val="32"/>
          <w:highlight w:val="none"/>
          <w:lang w:val="en-US" w:eastAsia="zh-CN"/>
        </w:rPr>
        <w:t>1,994</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65.16%</w:t>
      </w:r>
      <w:r>
        <w:rPr>
          <w:rFonts w:hint="eastAsia" w:ascii="仿宋_GB2312" w:eastAsia="仿宋_GB2312"/>
          <w:color w:val="auto"/>
          <w:sz w:val="32"/>
          <w:szCs w:val="32"/>
          <w:highlight w:val="none"/>
        </w:rPr>
        <w:t>，其中县本级增加</w:t>
      </w:r>
      <w:r>
        <w:rPr>
          <w:rFonts w:hint="eastAsia" w:ascii="仿宋_GB2312" w:eastAsia="仿宋_GB2312"/>
          <w:color w:val="auto"/>
          <w:sz w:val="32"/>
          <w:szCs w:val="32"/>
          <w:highlight w:val="none"/>
          <w:lang w:val="en-US" w:eastAsia="zh-CN"/>
        </w:rPr>
        <w:t>2,000</w:t>
      </w:r>
      <w:r>
        <w:rPr>
          <w:rFonts w:hint="eastAsia" w:ascii="仿宋_GB2312" w:eastAsia="仿宋_GB2312"/>
          <w:color w:val="auto"/>
          <w:sz w:val="32"/>
          <w:szCs w:val="32"/>
          <w:highlight w:val="none"/>
        </w:rPr>
        <w:t>万元，乡镇级减少</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万元元，主要是为增强财政应对风险能力，全县预备费按照一般公共预算支出的</w:t>
      </w:r>
      <w:r>
        <w:rPr>
          <w:rFonts w:hint="eastAsia" w:ascii="仿宋_GB2312" w:eastAsia="仿宋_GB2312"/>
          <w:color w:val="auto"/>
          <w:sz w:val="32"/>
          <w:szCs w:val="32"/>
          <w:highlight w:val="none"/>
          <w:lang w:val="en-US" w:eastAsia="zh-CN"/>
        </w:rPr>
        <w:t>1.74</w:t>
      </w:r>
      <w:r>
        <w:rPr>
          <w:rFonts w:hint="eastAsia" w:ascii="仿宋_GB2312" w:eastAsia="仿宋_GB2312"/>
          <w:color w:val="auto"/>
          <w:sz w:val="32"/>
          <w:szCs w:val="32"/>
          <w:highlight w:val="none"/>
        </w:rPr>
        <w:t>%安排，符合《预算法》第四十条“各级一般公共预算应当按照本级一般公共预算支出额的百分之一至百分之三设置预备费”之规定</w:t>
      </w:r>
      <w:r>
        <w:rPr>
          <w:rFonts w:hint="eastAsia" w:ascii="仿宋_GB2312" w:eastAsia="仿宋_GB2312"/>
          <w:color w:val="auto"/>
          <w:sz w:val="32"/>
          <w:szCs w:val="32"/>
          <w:highlight w:val="none"/>
          <w:lang w:eastAsia="zh-CN"/>
        </w:rPr>
        <w:t>；上年结转支出</w:t>
      </w:r>
      <w:r>
        <w:rPr>
          <w:rFonts w:hint="eastAsia" w:ascii="仿宋_GB2312" w:eastAsia="仿宋_GB2312"/>
          <w:color w:val="auto"/>
          <w:sz w:val="32"/>
          <w:szCs w:val="32"/>
          <w:highlight w:val="none"/>
          <w:lang w:val="en-US" w:eastAsia="zh-CN"/>
        </w:rPr>
        <w:t>34,330</w:t>
      </w:r>
      <w:r>
        <w:rPr>
          <w:rFonts w:hint="eastAsia" w:ascii="仿宋_GB2312" w:eastAsia="仿宋_GB2312"/>
          <w:color w:val="auto"/>
          <w:sz w:val="32"/>
          <w:szCs w:val="32"/>
          <w:highlight w:val="none"/>
          <w:lang w:eastAsia="zh-CN"/>
        </w:rPr>
        <w:t>万元，其中县本级</w:t>
      </w:r>
      <w:r>
        <w:rPr>
          <w:rFonts w:hint="eastAsia" w:ascii="仿宋_GB2312" w:eastAsia="仿宋_GB2312"/>
          <w:color w:val="auto"/>
          <w:sz w:val="32"/>
          <w:szCs w:val="32"/>
          <w:highlight w:val="none"/>
          <w:lang w:val="en-US" w:eastAsia="zh-CN"/>
        </w:rPr>
        <w:t>33,932万元，乡镇（街道）398万元。</w:t>
      </w:r>
    </w:p>
    <w:p>
      <w:pPr>
        <w:suppressAutoHyphens/>
        <w:spacing w:line="540" w:lineRule="exact"/>
        <w:ind w:firstLine="697" w:firstLineChars="218"/>
        <w:rPr>
          <w:rFonts w:ascii="仿宋_GB2312" w:eastAsia="仿宋_GB2312"/>
          <w:color w:val="auto"/>
          <w:sz w:val="32"/>
          <w:szCs w:val="32"/>
          <w:highlight w:val="none"/>
        </w:rPr>
      </w:pPr>
      <w:r>
        <w:rPr>
          <w:rFonts w:hint="eastAsia" w:ascii="仿宋_GB2312" w:eastAsia="仿宋_GB2312"/>
          <w:color w:val="auto"/>
          <w:sz w:val="32"/>
          <w:szCs w:val="32"/>
          <w:highlight w:val="none"/>
        </w:rPr>
        <w:t>一般公共预算平衡情况：2023年全县一般公共预算收入</w:t>
      </w:r>
      <w:r>
        <w:rPr>
          <w:rFonts w:hint="eastAsia" w:ascii="仿宋_GB2312" w:eastAsia="仿宋_GB2312"/>
          <w:color w:val="auto"/>
          <w:sz w:val="32"/>
          <w:szCs w:val="32"/>
          <w:highlight w:val="none"/>
          <w:lang w:val="en-US" w:eastAsia="zh-CN"/>
        </w:rPr>
        <w:t>42,500</w:t>
      </w:r>
      <w:r>
        <w:rPr>
          <w:rFonts w:hint="eastAsia" w:ascii="仿宋_GB2312" w:eastAsia="仿宋_GB2312"/>
          <w:color w:val="auto"/>
          <w:sz w:val="32"/>
          <w:szCs w:val="32"/>
          <w:highlight w:val="none"/>
        </w:rPr>
        <w:t>万元，加上级补助收入</w:t>
      </w:r>
      <w:r>
        <w:rPr>
          <w:rFonts w:hint="eastAsia" w:ascii="仿宋_GB2312" w:eastAsia="仿宋_GB2312"/>
          <w:color w:val="auto"/>
          <w:sz w:val="32"/>
          <w:szCs w:val="32"/>
          <w:highlight w:val="none"/>
          <w:lang w:val="en-US" w:eastAsia="zh-CN"/>
        </w:rPr>
        <w:t>166</w:t>
      </w:r>
      <w:r>
        <w:rPr>
          <w:rFonts w:hint="eastAsia" w:ascii="仿宋_GB2312" w:eastAsia="仿宋_GB2312"/>
          <w:color w:val="auto"/>
          <w:sz w:val="32"/>
          <w:szCs w:val="32"/>
          <w:highlight w:val="none"/>
        </w:rPr>
        <w:t>,6</w:t>
      </w:r>
      <w:r>
        <w:rPr>
          <w:rFonts w:hint="eastAsia" w:ascii="仿宋_GB2312" w:eastAsia="仿宋_GB2312"/>
          <w:color w:val="auto"/>
          <w:sz w:val="32"/>
          <w:szCs w:val="32"/>
          <w:highlight w:val="none"/>
          <w:lang w:val="en-US" w:eastAsia="zh-CN"/>
        </w:rPr>
        <w:t>93</w:t>
      </w:r>
      <w:r>
        <w:rPr>
          <w:rFonts w:hint="eastAsia" w:ascii="仿宋_GB2312" w:eastAsia="仿宋_GB2312"/>
          <w:color w:val="auto"/>
          <w:sz w:val="32"/>
          <w:szCs w:val="32"/>
          <w:highlight w:val="none"/>
        </w:rPr>
        <w:t>万元（含返还性收入8,344万元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一般性财力转移支付补助收入114,755万元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一般性项目转移支付补助收入</w:t>
      </w:r>
      <w:r>
        <w:rPr>
          <w:rFonts w:hint="eastAsia" w:ascii="仿宋_GB2312" w:eastAsia="仿宋_GB2312"/>
          <w:color w:val="auto"/>
          <w:sz w:val="32"/>
          <w:szCs w:val="32"/>
          <w:highlight w:val="none"/>
          <w:lang w:val="en-US" w:eastAsia="zh-CN"/>
        </w:rPr>
        <w:t>42,677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专项转移支付收入</w:t>
      </w:r>
      <w:r>
        <w:rPr>
          <w:rFonts w:hint="eastAsia" w:ascii="仿宋_GB2312" w:eastAsia="仿宋_GB2312"/>
          <w:color w:val="auto"/>
          <w:sz w:val="32"/>
          <w:szCs w:val="32"/>
          <w:highlight w:val="none"/>
          <w:lang w:val="en-US" w:eastAsia="zh-CN"/>
        </w:rPr>
        <w:t>917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调入资金</w:t>
      </w:r>
      <w:r>
        <w:rPr>
          <w:rFonts w:hint="eastAsia" w:ascii="仿宋_GB2312" w:eastAsia="仿宋_GB2312"/>
          <w:color w:val="auto"/>
          <w:sz w:val="32"/>
          <w:szCs w:val="32"/>
          <w:highlight w:val="none"/>
          <w:lang w:val="en-US" w:eastAsia="zh-CN"/>
        </w:rPr>
        <w:t>55,001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动用预算稳定调节基金175万元，</w:t>
      </w:r>
      <w:r>
        <w:rPr>
          <w:rFonts w:hint="eastAsia" w:ascii="仿宋_GB2312" w:eastAsia="仿宋_GB2312"/>
          <w:color w:val="auto"/>
          <w:sz w:val="32"/>
          <w:szCs w:val="32"/>
          <w:highlight w:val="none"/>
          <w:lang w:eastAsia="zh-CN"/>
        </w:rPr>
        <w:t>上年结</w:t>
      </w:r>
      <w:r>
        <w:rPr>
          <w:rFonts w:hint="eastAsia" w:ascii="仿宋_GB2312" w:hAnsi="仿宋" w:eastAsia="仿宋_GB2312"/>
          <w:color w:val="auto"/>
          <w:sz w:val="32"/>
          <w:szCs w:val="32"/>
          <w:highlight w:val="none"/>
          <w:lang w:eastAsia="zh-CN"/>
        </w:rPr>
        <w:t>转收入</w:t>
      </w:r>
      <w:r>
        <w:rPr>
          <w:rFonts w:hint="eastAsia" w:ascii="仿宋_GB2312" w:eastAsia="仿宋_GB2312"/>
          <w:color w:val="auto"/>
          <w:sz w:val="32"/>
          <w:szCs w:val="32"/>
          <w:highlight w:val="none"/>
          <w:lang w:val="en-US" w:eastAsia="zh-CN"/>
        </w:rPr>
        <w:t>34,330</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rPr>
        <w:t>收入总计</w:t>
      </w:r>
      <w:r>
        <w:rPr>
          <w:rFonts w:hint="eastAsia" w:ascii="仿宋_GB2312" w:eastAsia="仿宋_GB2312"/>
          <w:color w:val="auto"/>
          <w:sz w:val="32"/>
          <w:szCs w:val="32"/>
          <w:highlight w:val="none"/>
          <w:lang w:val="en-US" w:eastAsia="zh-CN"/>
        </w:rPr>
        <w:t>298,699</w:t>
      </w:r>
      <w:r>
        <w:rPr>
          <w:rFonts w:hint="eastAsia" w:ascii="仿宋_GB2312" w:eastAsia="仿宋_GB2312"/>
          <w:color w:val="auto"/>
          <w:sz w:val="32"/>
          <w:szCs w:val="32"/>
          <w:highlight w:val="none"/>
        </w:rPr>
        <w:t>万元。一般公共预算支出</w:t>
      </w:r>
      <w:r>
        <w:rPr>
          <w:rFonts w:hint="eastAsia" w:ascii="仿宋_GB2312" w:eastAsia="仿宋_GB2312"/>
          <w:color w:val="auto"/>
          <w:sz w:val="32"/>
          <w:szCs w:val="32"/>
          <w:highlight w:val="none"/>
          <w:lang w:val="en-US" w:eastAsia="zh-CN"/>
        </w:rPr>
        <w:t>290,527</w:t>
      </w:r>
      <w:r>
        <w:rPr>
          <w:rFonts w:hint="eastAsia" w:ascii="仿宋_GB2312" w:eastAsia="仿宋_GB2312"/>
          <w:color w:val="auto"/>
          <w:sz w:val="32"/>
          <w:szCs w:val="32"/>
          <w:highlight w:val="none"/>
        </w:rPr>
        <w:t>万元，加上解省、市支出</w:t>
      </w:r>
      <w:r>
        <w:rPr>
          <w:rFonts w:hint="eastAsia" w:ascii="仿宋_GB2312" w:eastAsia="仿宋_GB2312"/>
          <w:color w:val="auto"/>
          <w:sz w:val="32"/>
          <w:szCs w:val="32"/>
          <w:highlight w:val="none"/>
          <w:lang w:val="en-US" w:eastAsia="zh-CN"/>
        </w:rPr>
        <w:t>8,172</w:t>
      </w:r>
      <w:r>
        <w:rPr>
          <w:rFonts w:hint="eastAsia" w:ascii="仿宋_GB2312" w:eastAsia="仿宋_GB2312"/>
          <w:color w:val="auto"/>
          <w:sz w:val="32"/>
          <w:szCs w:val="32"/>
          <w:highlight w:val="none"/>
        </w:rPr>
        <w:t>万元，支出总计</w:t>
      </w:r>
      <w:r>
        <w:rPr>
          <w:rFonts w:hint="eastAsia" w:ascii="仿宋_GB2312" w:eastAsia="仿宋_GB2312"/>
          <w:color w:val="auto"/>
          <w:sz w:val="32"/>
          <w:szCs w:val="32"/>
          <w:highlight w:val="none"/>
          <w:lang w:val="en-US" w:eastAsia="zh-CN"/>
        </w:rPr>
        <w:t>298,699</w:t>
      </w:r>
      <w:r>
        <w:rPr>
          <w:rFonts w:hint="eastAsia" w:ascii="仿宋_GB2312" w:eastAsia="仿宋_GB2312"/>
          <w:color w:val="auto"/>
          <w:sz w:val="32"/>
          <w:szCs w:val="32"/>
          <w:highlight w:val="none"/>
        </w:rPr>
        <w:t>万元。收支平衡。</w:t>
      </w:r>
    </w:p>
    <w:p>
      <w:pPr>
        <w:suppressAutoHyphens/>
        <w:spacing w:line="540" w:lineRule="exact"/>
        <w:ind w:firstLine="643" w:firstLineChars="200"/>
        <w:rPr>
          <w:rFonts w:ascii="仿宋_GB2312" w:eastAsia="仿宋_GB2312"/>
          <w:b/>
          <w:color w:val="auto"/>
          <w:sz w:val="32"/>
          <w:szCs w:val="32"/>
          <w:highlight w:val="none"/>
        </w:rPr>
      </w:pPr>
      <w:r>
        <w:rPr>
          <w:rFonts w:hint="eastAsia" w:ascii="仿宋_GB2312" w:eastAsia="仿宋_GB2312"/>
          <w:b/>
          <w:color w:val="auto"/>
          <w:sz w:val="32"/>
          <w:szCs w:val="32"/>
          <w:highlight w:val="none"/>
        </w:rPr>
        <w:t>2.县本级一般公共预算安排情况</w:t>
      </w:r>
    </w:p>
    <w:p>
      <w:pPr>
        <w:pStyle w:val="6"/>
        <w:widowControl w:val="0"/>
        <w:suppressAutoHyphens/>
        <w:spacing w:before="0" w:beforeAutospacing="0" w:after="0" w:afterAutospacing="0" w:line="540" w:lineRule="exact"/>
        <w:ind w:firstLine="640" w:firstLineChars="200"/>
        <w:jc w:val="both"/>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县本级一般公共预算收入安排</w:t>
      </w:r>
      <w:r>
        <w:rPr>
          <w:rFonts w:hint="eastAsia" w:ascii="仿宋_GB2312" w:hAnsi="Times New Roman" w:eastAsia="仿宋_GB2312" w:cs="Times New Roman"/>
          <w:color w:val="auto"/>
          <w:kern w:val="2"/>
          <w:sz w:val="32"/>
          <w:szCs w:val="32"/>
          <w:highlight w:val="none"/>
          <w:lang w:val="en-US" w:eastAsia="zh-CN" w:bidi="ar-SA"/>
        </w:rPr>
        <w:t>24,448</w:t>
      </w:r>
      <w:r>
        <w:rPr>
          <w:rFonts w:hint="eastAsia" w:ascii="仿宋_GB2312" w:eastAsia="仿宋_GB2312"/>
          <w:color w:val="auto"/>
          <w:sz w:val="32"/>
          <w:szCs w:val="32"/>
          <w:highlight w:val="none"/>
        </w:rPr>
        <w:t>万元，比2022年完成数</w:t>
      </w:r>
      <w:r>
        <w:rPr>
          <w:rFonts w:hint="eastAsia" w:ascii="仿宋_GB2312" w:hAnsi="Times New Roman" w:eastAsia="仿宋_GB2312" w:cs="Times New Roman"/>
          <w:color w:val="auto"/>
          <w:kern w:val="2"/>
          <w:sz w:val="32"/>
          <w:szCs w:val="32"/>
          <w:highlight w:val="none"/>
          <w:lang w:val="en-US" w:eastAsia="zh-CN" w:bidi="ar-SA"/>
        </w:rPr>
        <w:t>23,110</w:t>
      </w:r>
      <w:r>
        <w:rPr>
          <w:rFonts w:hint="eastAsia" w:ascii="仿宋_GB2312" w:eastAsia="仿宋_GB2312"/>
          <w:color w:val="auto"/>
          <w:sz w:val="32"/>
          <w:szCs w:val="32"/>
          <w:highlight w:val="none"/>
        </w:rPr>
        <w:t>万元，增长</w:t>
      </w:r>
      <w:r>
        <w:rPr>
          <w:rFonts w:hint="eastAsia" w:ascii="仿宋_GB2312" w:hAnsi="Times New Roman" w:eastAsia="仿宋_GB2312" w:cs="Times New Roman"/>
          <w:color w:val="auto"/>
          <w:kern w:val="2"/>
          <w:sz w:val="32"/>
          <w:szCs w:val="32"/>
          <w:highlight w:val="none"/>
          <w:lang w:val="en-US" w:eastAsia="zh-CN" w:bidi="ar-SA"/>
        </w:rPr>
        <w:t>5.79%</w:t>
      </w:r>
      <w:r>
        <w:rPr>
          <w:rFonts w:hint="eastAsia" w:ascii="仿宋_GB2312" w:eastAsia="仿宋_GB2312"/>
          <w:color w:val="auto"/>
          <w:sz w:val="32"/>
          <w:szCs w:val="32"/>
          <w:highlight w:val="none"/>
        </w:rPr>
        <w:t>，增收</w:t>
      </w:r>
      <w:r>
        <w:rPr>
          <w:rFonts w:hint="eastAsia" w:ascii="仿宋_GB2312" w:hAnsi="Times New Roman" w:eastAsia="仿宋_GB2312" w:cs="Times New Roman"/>
          <w:color w:val="auto"/>
          <w:kern w:val="2"/>
          <w:sz w:val="32"/>
          <w:szCs w:val="32"/>
          <w:highlight w:val="none"/>
          <w:lang w:val="en-US" w:eastAsia="zh-CN" w:bidi="ar-SA"/>
        </w:rPr>
        <w:t>1,338</w:t>
      </w:r>
      <w:r>
        <w:rPr>
          <w:rFonts w:hint="eastAsia" w:ascii="仿宋_GB2312" w:eastAsia="仿宋_GB2312"/>
          <w:color w:val="auto"/>
          <w:sz w:val="32"/>
          <w:szCs w:val="32"/>
          <w:highlight w:val="none"/>
        </w:rPr>
        <w:t>万元。县本级一般公共预算支出安排</w:t>
      </w:r>
      <w:r>
        <w:rPr>
          <w:rFonts w:hint="eastAsia" w:ascii="仿宋_GB2312" w:hAnsi="Times New Roman" w:eastAsia="仿宋_GB2312" w:cs="Times New Roman"/>
          <w:color w:val="auto"/>
          <w:kern w:val="2"/>
          <w:sz w:val="32"/>
          <w:szCs w:val="32"/>
          <w:highlight w:val="none"/>
          <w:lang w:val="en-US" w:eastAsia="zh-CN" w:bidi="ar-SA"/>
        </w:rPr>
        <w:t>264,637</w:t>
      </w:r>
      <w:r>
        <w:rPr>
          <w:rFonts w:hint="eastAsia" w:ascii="仿宋_GB2312" w:eastAsia="仿宋_GB2312"/>
          <w:color w:val="auto"/>
          <w:sz w:val="32"/>
          <w:szCs w:val="32"/>
          <w:highlight w:val="none"/>
        </w:rPr>
        <w:t>万元，比上年年初预算</w:t>
      </w:r>
      <w:r>
        <w:rPr>
          <w:rFonts w:hint="eastAsia" w:ascii="仿宋_GB2312" w:eastAsia="仿宋_GB2312"/>
          <w:color w:val="auto"/>
          <w:sz w:val="32"/>
          <w:szCs w:val="32"/>
          <w:highlight w:val="none"/>
          <w:lang w:eastAsia="zh-CN"/>
        </w:rPr>
        <w:t>增加</w:t>
      </w:r>
      <w:r>
        <w:rPr>
          <w:rFonts w:hint="eastAsia" w:ascii="仿宋_GB2312" w:hAnsi="Times New Roman" w:eastAsia="仿宋_GB2312" w:cs="Times New Roman"/>
          <w:color w:val="auto"/>
          <w:kern w:val="2"/>
          <w:sz w:val="32"/>
          <w:szCs w:val="32"/>
          <w:highlight w:val="none"/>
          <w:lang w:val="en-US" w:eastAsia="zh-CN" w:bidi="ar-SA"/>
        </w:rPr>
        <w:t>5,800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增长</w:t>
      </w:r>
      <w:r>
        <w:rPr>
          <w:rFonts w:hint="eastAsia" w:ascii="仿宋_GB2312" w:hAnsi="Times New Roman" w:eastAsia="仿宋_GB2312" w:cs="Times New Roman"/>
          <w:color w:val="auto"/>
          <w:kern w:val="2"/>
          <w:sz w:val="32"/>
          <w:szCs w:val="32"/>
          <w:highlight w:val="none"/>
          <w:lang w:val="en-US" w:eastAsia="zh-CN" w:bidi="ar-SA"/>
        </w:rPr>
        <w:t>2.24%</w:t>
      </w:r>
      <w:r>
        <w:rPr>
          <w:rFonts w:hint="eastAsia" w:ascii="仿宋_GB2312" w:eastAsia="仿宋_GB2312"/>
          <w:color w:val="auto"/>
          <w:sz w:val="32"/>
          <w:szCs w:val="32"/>
          <w:highlight w:val="none"/>
        </w:rPr>
        <w:t>。其中：人员经费安排</w:t>
      </w:r>
      <w:r>
        <w:rPr>
          <w:rFonts w:hint="eastAsia" w:ascii="仿宋_GB2312" w:hAnsi="Times New Roman" w:eastAsia="仿宋_GB2312" w:cs="Times New Roman"/>
          <w:color w:val="auto"/>
          <w:kern w:val="2"/>
          <w:sz w:val="32"/>
          <w:szCs w:val="32"/>
          <w:highlight w:val="none"/>
          <w:lang w:val="en-US" w:eastAsia="zh-CN" w:bidi="ar-SA"/>
        </w:rPr>
        <w:t>136,002</w:t>
      </w:r>
      <w:r>
        <w:rPr>
          <w:rFonts w:hint="eastAsia" w:ascii="仿宋_GB2312" w:eastAsia="仿宋_GB2312"/>
          <w:color w:val="auto"/>
          <w:sz w:val="32"/>
          <w:szCs w:val="32"/>
          <w:highlight w:val="none"/>
        </w:rPr>
        <w:t>万元，增加</w:t>
      </w:r>
      <w:r>
        <w:rPr>
          <w:rFonts w:hint="eastAsia" w:ascii="仿宋_GB2312" w:hAnsi="Times New Roman" w:eastAsia="仿宋_GB2312" w:cs="Times New Roman"/>
          <w:color w:val="auto"/>
          <w:kern w:val="2"/>
          <w:sz w:val="32"/>
          <w:szCs w:val="32"/>
          <w:highlight w:val="none"/>
          <w:lang w:val="en-US" w:eastAsia="zh-CN" w:bidi="ar-SA"/>
        </w:rPr>
        <w:t>5,479</w:t>
      </w:r>
      <w:r>
        <w:rPr>
          <w:rFonts w:hint="eastAsia" w:ascii="仿宋_GB2312" w:eastAsia="仿宋_GB2312"/>
          <w:color w:val="auto"/>
          <w:sz w:val="32"/>
          <w:szCs w:val="32"/>
          <w:highlight w:val="none"/>
        </w:rPr>
        <w:t>万元，增</w:t>
      </w:r>
      <w:r>
        <w:rPr>
          <w:rFonts w:hint="eastAsia" w:ascii="仿宋_GB2312" w:hAnsi="Times New Roman" w:eastAsia="仿宋_GB2312" w:cs="Times New Roman"/>
          <w:color w:val="auto"/>
          <w:kern w:val="2"/>
          <w:sz w:val="32"/>
          <w:szCs w:val="32"/>
          <w:highlight w:val="none"/>
          <w:lang w:val="en-US" w:eastAsia="zh-CN" w:bidi="ar-SA"/>
        </w:rPr>
        <w:t>长4.20%</w:t>
      </w:r>
      <w:r>
        <w:rPr>
          <w:rFonts w:hint="eastAsia" w:ascii="仿宋_GB2312" w:eastAsia="仿宋_GB2312"/>
          <w:color w:val="auto"/>
          <w:sz w:val="32"/>
          <w:szCs w:val="32"/>
          <w:highlight w:val="none"/>
        </w:rPr>
        <w:t>；公用经费安排</w:t>
      </w:r>
      <w:r>
        <w:rPr>
          <w:rFonts w:hint="eastAsia" w:ascii="仿宋_GB2312" w:hAnsi="Times New Roman" w:eastAsia="仿宋_GB2312" w:cs="Times New Roman"/>
          <w:color w:val="auto"/>
          <w:kern w:val="2"/>
          <w:sz w:val="32"/>
          <w:szCs w:val="32"/>
          <w:highlight w:val="none"/>
          <w:lang w:val="en-US" w:eastAsia="zh-CN" w:bidi="ar-SA"/>
        </w:rPr>
        <w:t>3,088万</w:t>
      </w:r>
      <w:r>
        <w:rPr>
          <w:rFonts w:hint="eastAsia" w:ascii="仿宋_GB2312" w:eastAsia="仿宋_GB2312"/>
          <w:color w:val="auto"/>
          <w:sz w:val="32"/>
          <w:szCs w:val="32"/>
          <w:highlight w:val="none"/>
        </w:rPr>
        <w:t>元，增加</w:t>
      </w:r>
      <w:r>
        <w:rPr>
          <w:rFonts w:hint="eastAsia" w:ascii="仿宋_GB2312" w:hAnsi="Times New Roman" w:eastAsia="仿宋_GB2312" w:cs="Times New Roman"/>
          <w:color w:val="auto"/>
          <w:kern w:val="2"/>
          <w:sz w:val="32"/>
          <w:szCs w:val="32"/>
          <w:highlight w:val="none"/>
          <w:lang w:val="en-US" w:eastAsia="zh-CN" w:bidi="ar-SA"/>
        </w:rPr>
        <w:t>459</w:t>
      </w:r>
      <w:r>
        <w:rPr>
          <w:rFonts w:hint="eastAsia" w:ascii="仿宋_GB2312" w:eastAsia="仿宋_GB2312"/>
          <w:color w:val="auto"/>
          <w:sz w:val="32"/>
          <w:szCs w:val="32"/>
          <w:highlight w:val="none"/>
        </w:rPr>
        <w:t>万元，增长</w:t>
      </w:r>
      <w:r>
        <w:rPr>
          <w:rFonts w:hint="eastAsia" w:ascii="仿宋_GB2312" w:hAnsi="Times New Roman" w:eastAsia="仿宋_GB2312" w:cs="Times New Roman"/>
          <w:color w:val="auto"/>
          <w:kern w:val="2"/>
          <w:sz w:val="32"/>
          <w:szCs w:val="32"/>
          <w:highlight w:val="none"/>
          <w:lang w:val="en-US" w:eastAsia="zh-CN" w:bidi="ar-SA"/>
        </w:rPr>
        <w:t>17.46%</w:t>
      </w:r>
      <w:r>
        <w:rPr>
          <w:rFonts w:hint="eastAsia" w:ascii="仿宋_GB2312" w:eastAsia="仿宋_GB2312"/>
          <w:color w:val="auto"/>
          <w:sz w:val="32"/>
          <w:szCs w:val="32"/>
          <w:highlight w:val="none"/>
        </w:rPr>
        <w:t>，主要是多年来我县工会费一直维持在每人每年500元的较低标准，为保障职工切身利益，2023年将职工工会费提高到每人每年1,000元，导致公用经费总额增加；专项经费安排</w:t>
      </w:r>
      <w:r>
        <w:rPr>
          <w:rFonts w:hint="eastAsia" w:ascii="仿宋_GB2312" w:hAnsi="Times New Roman" w:eastAsia="仿宋_GB2312" w:cs="Times New Roman"/>
          <w:color w:val="auto"/>
          <w:kern w:val="2"/>
          <w:sz w:val="32"/>
          <w:szCs w:val="32"/>
          <w:highlight w:val="none"/>
          <w:lang w:val="en-US" w:eastAsia="zh-CN" w:bidi="ar-SA"/>
        </w:rPr>
        <w:t>86,615</w:t>
      </w:r>
      <w:r>
        <w:rPr>
          <w:rFonts w:hint="eastAsia" w:ascii="仿宋_GB2312" w:eastAsia="仿宋_GB2312"/>
          <w:color w:val="auto"/>
          <w:sz w:val="32"/>
          <w:szCs w:val="32"/>
          <w:highlight w:val="none"/>
        </w:rPr>
        <w:t>万元，减少</w:t>
      </w:r>
      <w:r>
        <w:rPr>
          <w:rFonts w:hint="eastAsia" w:ascii="仿宋_GB2312" w:hAnsi="Times New Roman" w:eastAsia="仿宋_GB2312" w:cs="Times New Roman"/>
          <w:color w:val="auto"/>
          <w:kern w:val="2"/>
          <w:sz w:val="32"/>
          <w:szCs w:val="32"/>
          <w:highlight w:val="none"/>
          <w:lang w:val="en-US" w:eastAsia="zh-CN" w:bidi="ar-SA"/>
        </w:rPr>
        <w:t>6,678</w:t>
      </w:r>
      <w:r>
        <w:rPr>
          <w:rFonts w:hint="eastAsia" w:ascii="仿宋_GB2312" w:eastAsia="仿宋_GB2312"/>
          <w:color w:val="auto"/>
          <w:sz w:val="32"/>
          <w:szCs w:val="32"/>
          <w:highlight w:val="none"/>
        </w:rPr>
        <w:t>万元，下降</w:t>
      </w:r>
      <w:r>
        <w:rPr>
          <w:rFonts w:hint="eastAsia" w:ascii="仿宋_GB2312" w:hAnsi="Times New Roman" w:eastAsia="仿宋_GB2312" w:cs="Times New Roman"/>
          <w:color w:val="auto"/>
          <w:kern w:val="2"/>
          <w:sz w:val="32"/>
          <w:szCs w:val="32"/>
          <w:highlight w:val="none"/>
          <w:lang w:val="en-US" w:eastAsia="zh-CN" w:bidi="ar-SA"/>
        </w:rPr>
        <w:t>7.16%</w:t>
      </w:r>
      <w:r>
        <w:rPr>
          <w:rFonts w:hint="eastAsia" w:ascii="仿宋_GB2312" w:eastAsia="仿宋_GB2312"/>
          <w:color w:val="auto"/>
          <w:sz w:val="32"/>
          <w:szCs w:val="32"/>
          <w:highlight w:val="none"/>
        </w:rPr>
        <w:t>，主要是按照上级要求对上级未提前下达的项目性转移支付不再预估纳入年初预算编制；预备费安排</w:t>
      </w:r>
      <w:r>
        <w:rPr>
          <w:rFonts w:hint="eastAsia" w:ascii="仿宋_GB2312" w:hAnsi="Times New Roman" w:eastAsia="仿宋_GB2312" w:cs="Times New Roman"/>
          <w:color w:val="auto"/>
          <w:kern w:val="2"/>
          <w:sz w:val="32"/>
          <w:szCs w:val="32"/>
          <w:highlight w:val="none"/>
          <w:lang w:val="en-US" w:eastAsia="zh-CN" w:bidi="ar-SA"/>
        </w:rPr>
        <w:t>5,000</w:t>
      </w:r>
      <w:r>
        <w:rPr>
          <w:rFonts w:hint="eastAsia" w:ascii="仿宋_GB2312" w:eastAsia="仿宋_GB2312"/>
          <w:color w:val="auto"/>
          <w:sz w:val="32"/>
          <w:szCs w:val="32"/>
          <w:highlight w:val="none"/>
        </w:rPr>
        <w:t>万元，增加</w:t>
      </w:r>
      <w:r>
        <w:rPr>
          <w:rFonts w:hint="eastAsia" w:ascii="仿宋_GB2312" w:hAnsi="Times New Roman" w:eastAsia="仿宋_GB2312" w:cs="Times New Roman"/>
          <w:color w:val="auto"/>
          <w:kern w:val="2"/>
          <w:sz w:val="32"/>
          <w:szCs w:val="32"/>
          <w:highlight w:val="none"/>
          <w:lang w:val="en-US" w:eastAsia="zh-CN" w:bidi="ar-SA"/>
        </w:rPr>
        <w:t>2,000</w:t>
      </w:r>
      <w:r>
        <w:rPr>
          <w:rFonts w:hint="eastAsia" w:ascii="仿宋_GB2312" w:eastAsia="仿宋_GB2312"/>
          <w:color w:val="auto"/>
          <w:sz w:val="32"/>
          <w:szCs w:val="32"/>
          <w:highlight w:val="none"/>
        </w:rPr>
        <w:t>万元，增长</w:t>
      </w:r>
      <w:r>
        <w:rPr>
          <w:rFonts w:hint="eastAsia" w:ascii="仿宋_GB2312" w:hAnsi="Times New Roman" w:eastAsia="仿宋_GB2312" w:cs="Times New Roman"/>
          <w:color w:val="auto"/>
          <w:kern w:val="2"/>
          <w:sz w:val="32"/>
          <w:szCs w:val="32"/>
          <w:highlight w:val="none"/>
          <w:lang w:val="en-US" w:eastAsia="zh-CN" w:bidi="ar-SA"/>
        </w:rPr>
        <w:t>66.67%</w:t>
      </w:r>
      <w:r>
        <w:rPr>
          <w:rFonts w:hint="eastAsia" w:ascii="仿宋_GB2312" w:eastAsia="仿宋_GB2312"/>
          <w:color w:val="auto"/>
          <w:sz w:val="32"/>
          <w:szCs w:val="32"/>
          <w:highlight w:val="none"/>
        </w:rPr>
        <w:t>，预备费占一般公共预算支出的</w:t>
      </w:r>
      <w:r>
        <w:rPr>
          <w:rFonts w:hint="eastAsia" w:ascii="仿宋_GB2312" w:hAnsi="Times New Roman" w:eastAsia="仿宋_GB2312" w:cs="Times New Roman"/>
          <w:color w:val="auto"/>
          <w:kern w:val="2"/>
          <w:sz w:val="32"/>
          <w:szCs w:val="32"/>
          <w:highlight w:val="none"/>
          <w:lang w:val="en-US" w:eastAsia="zh-CN" w:bidi="ar-SA"/>
        </w:rPr>
        <w:t>1.89%</w:t>
      </w:r>
      <w:r>
        <w:rPr>
          <w:rFonts w:hint="eastAsia" w:ascii="仿宋_GB2312" w:eastAsia="仿宋_GB2312"/>
          <w:color w:val="auto"/>
          <w:sz w:val="32"/>
          <w:szCs w:val="32"/>
          <w:highlight w:val="none"/>
          <w:lang w:eastAsia="zh-CN"/>
        </w:rPr>
        <w:t>；上年结转支出</w:t>
      </w:r>
      <w:r>
        <w:rPr>
          <w:rFonts w:hint="eastAsia" w:ascii="仿宋_GB2312" w:hAnsi="Times New Roman" w:eastAsia="仿宋_GB2312" w:cs="Times New Roman"/>
          <w:color w:val="auto"/>
          <w:kern w:val="2"/>
          <w:sz w:val="32"/>
          <w:szCs w:val="32"/>
          <w:highlight w:val="none"/>
          <w:lang w:val="en-US" w:eastAsia="zh-CN" w:bidi="ar-SA"/>
        </w:rPr>
        <w:t>33,932</w:t>
      </w:r>
      <w:r>
        <w:rPr>
          <w:rFonts w:hint="eastAsia" w:ascii="仿宋_GB2312" w:eastAsia="仿宋_GB2312"/>
          <w:color w:val="auto"/>
          <w:sz w:val="32"/>
          <w:szCs w:val="32"/>
          <w:highlight w:val="none"/>
          <w:lang w:val="en-US" w:eastAsia="zh-CN"/>
        </w:rPr>
        <w:t>万元。</w:t>
      </w:r>
    </w:p>
    <w:p>
      <w:pPr>
        <w:suppressAutoHyphens/>
        <w:spacing w:line="540" w:lineRule="exact"/>
        <w:ind w:firstLine="700" w:firstLineChars="218"/>
        <w:rPr>
          <w:rFonts w:ascii="仿宋_GB2312" w:eastAsia="仿宋_GB2312"/>
          <w:color w:val="auto"/>
          <w:sz w:val="32"/>
          <w:szCs w:val="32"/>
          <w:highlight w:val="none"/>
        </w:rPr>
      </w:pPr>
      <w:r>
        <w:rPr>
          <w:rFonts w:hint="eastAsia" w:ascii="仿宋_GB2312" w:eastAsia="仿宋_GB2312"/>
          <w:b/>
          <w:color w:val="auto"/>
          <w:sz w:val="32"/>
          <w:szCs w:val="32"/>
          <w:highlight w:val="none"/>
        </w:rPr>
        <w:t>县本级一般公共预算平衡情况</w:t>
      </w:r>
      <w:r>
        <w:rPr>
          <w:rFonts w:hint="eastAsia" w:ascii="仿宋_GB2312" w:eastAsia="仿宋_GB2312"/>
          <w:color w:val="auto"/>
          <w:sz w:val="32"/>
          <w:szCs w:val="32"/>
          <w:highlight w:val="none"/>
        </w:rPr>
        <w:t>：县本级一般公共预算收入</w:t>
      </w:r>
      <w:r>
        <w:rPr>
          <w:rFonts w:hint="eastAsia" w:ascii="仿宋_GB2312" w:hAnsi="Times New Roman" w:eastAsia="仿宋_GB2312" w:cs="Times New Roman"/>
          <w:color w:val="auto"/>
          <w:kern w:val="2"/>
          <w:sz w:val="32"/>
          <w:szCs w:val="32"/>
          <w:highlight w:val="none"/>
          <w:lang w:val="en-US" w:eastAsia="zh-CN" w:bidi="ar-SA"/>
        </w:rPr>
        <w:t>24,448</w:t>
      </w:r>
      <w:r>
        <w:rPr>
          <w:rFonts w:hint="eastAsia" w:ascii="仿宋_GB2312" w:eastAsia="仿宋_GB2312"/>
          <w:color w:val="auto"/>
          <w:sz w:val="32"/>
          <w:szCs w:val="32"/>
          <w:highlight w:val="none"/>
        </w:rPr>
        <w:t>万元，加上级补助收入</w:t>
      </w:r>
      <w:r>
        <w:rPr>
          <w:rFonts w:hint="eastAsia" w:ascii="仿宋_GB2312" w:hAnsi="Times New Roman" w:eastAsia="仿宋_GB2312" w:cs="Times New Roman"/>
          <w:color w:val="auto"/>
          <w:kern w:val="2"/>
          <w:sz w:val="32"/>
          <w:szCs w:val="32"/>
          <w:highlight w:val="none"/>
          <w:lang w:val="en-US" w:eastAsia="zh-CN" w:bidi="ar-SA"/>
        </w:rPr>
        <w:t>142,745</w:t>
      </w:r>
      <w:r>
        <w:rPr>
          <w:rFonts w:hint="eastAsia" w:ascii="仿宋_GB2312" w:eastAsia="仿宋_GB2312"/>
          <w:color w:val="auto"/>
          <w:sz w:val="32"/>
          <w:szCs w:val="32"/>
          <w:highlight w:val="none"/>
        </w:rPr>
        <w:t>万元（含返还性收入</w:t>
      </w:r>
      <w:r>
        <w:rPr>
          <w:rFonts w:hint="eastAsia" w:ascii="仿宋_GB2312" w:hAnsi="Times New Roman" w:eastAsia="仿宋_GB2312" w:cs="Times New Roman"/>
          <w:color w:val="auto"/>
          <w:kern w:val="2"/>
          <w:sz w:val="32"/>
          <w:szCs w:val="32"/>
          <w:highlight w:val="none"/>
          <w:lang w:val="en-US" w:eastAsia="zh-CN" w:bidi="ar-SA"/>
        </w:rPr>
        <w:t>8,344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一般性财力转移支付补助</w:t>
      </w:r>
      <w:r>
        <w:rPr>
          <w:rFonts w:hint="eastAsia" w:ascii="仿宋_GB2312" w:hAnsi="Times New Roman" w:eastAsia="仿宋_GB2312" w:cs="Times New Roman"/>
          <w:color w:val="auto"/>
          <w:kern w:val="2"/>
          <w:sz w:val="32"/>
          <w:szCs w:val="32"/>
          <w:highlight w:val="none"/>
          <w:lang w:val="en-US" w:eastAsia="zh-CN" w:bidi="ar-SA"/>
        </w:rPr>
        <w:t>90,807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一般性项目转移支付补助</w:t>
      </w:r>
      <w:r>
        <w:rPr>
          <w:rFonts w:hint="eastAsia" w:ascii="仿宋_GB2312" w:hAnsi="Times New Roman" w:eastAsia="仿宋_GB2312" w:cs="Times New Roman"/>
          <w:color w:val="auto"/>
          <w:kern w:val="2"/>
          <w:sz w:val="32"/>
          <w:szCs w:val="32"/>
          <w:highlight w:val="none"/>
          <w:lang w:val="en-US" w:eastAsia="zh-CN" w:bidi="ar-SA"/>
        </w:rPr>
        <w:t>42,677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专项转移支付</w:t>
      </w:r>
      <w:r>
        <w:rPr>
          <w:rFonts w:hint="eastAsia" w:ascii="仿宋_GB2312" w:hAnsi="Times New Roman" w:eastAsia="仿宋_GB2312" w:cs="Times New Roman"/>
          <w:color w:val="auto"/>
          <w:kern w:val="2"/>
          <w:sz w:val="32"/>
          <w:szCs w:val="32"/>
          <w:highlight w:val="none"/>
          <w:lang w:val="en-US" w:eastAsia="zh-CN" w:bidi="ar-SA"/>
        </w:rPr>
        <w:t>917</w:t>
      </w:r>
      <w:r>
        <w:rPr>
          <w:rFonts w:hint="eastAsia" w:ascii="仿宋_GB2312" w:eastAsia="仿宋_GB2312"/>
          <w:color w:val="auto"/>
          <w:sz w:val="32"/>
          <w:szCs w:val="32"/>
          <w:highlight w:val="none"/>
        </w:rPr>
        <w:t>万元），下级上解</w:t>
      </w:r>
      <w:r>
        <w:rPr>
          <w:rFonts w:hint="eastAsia" w:ascii="仿宋_GB2312" w:hAnsi="Times New Roman" w:eastAsia="仿宋_GB2312" w:cs="Times New Roman"/>
          <w:color w:val="auto"/>
          <w:kern w:val="2"/>
          <w:sz w:val="32"/>
          <w:szCs w:val="32"/>
          <w:highlight w:val="none"/>
          <w:lang w:val="en-US" w:eastAsia="zh-CN" w:bidi="ar-SA"/>
        </w:rPr>
        <w:t>16,683</w:t>
      </w:r>
      <w:r>
        <w:rPr>
          <w:rFonts w:hint="eastAsia" w:ascii="仿宋_GB2312" w:eastAsia="仿宋_GB2312"/>
          <w:color w:val="auto"/>
          <w:sz w:val="32"/>
          <w:szCs w:val="32"/>
          <w:highlight w:val="none"/>
        </w:rPr>
        <w:t>万元，调入资金55,</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01万元，</w:t>
      </w:r>
      <w:r>
        <w:rPr>
          <w:rFonts w:hint="eastAsia" w:ascii="仿宋_GB2312" w:eastAsia="仿宋_GB2312"/>
          <w:color w:val="auto"/>
          <w:sz w:val="32"/>
          <w:szCs w:val="32"/>
          <w:highlight w:val="none"/>
          <w:lang w:eastAsia="zh-CN"/>
        </w:rPr>
        <w:t>上年结转收入</w:t>
      </w:r>
      <w:r>
        <w:rPr>
          <w:rFonts w:hint="eastAsia" w:ascii="仿宋_GB2312" w:hAnsi="Times New Roman" w:eastAsia="仿宋_GB2312" w:cs="Times New Roman"/>
          <w:color w:val="auto"/>
          <w:kern w:val="2"/>
          <w:sz w:val="32"/>
          <w:szCs w:val="32"/>
          <w:highlight w:val="none"/>
          <w:lang w:val="en-US" w:eastAsia="zh-CN" w:bidi="ar-SA"/>
        </w:rPr>
        <w:t>33,932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rPr>
        <w:t>收入总计</w:t>
      </w:r>
      <w:r>
        <w:rPr>
          <w:rFonts w:hint="eastAsia" w:ascii="仿宋_GB2312" w:hAnsi="Times New Roman" w:eastAsia="仿宋_GB2312" w:cs="Times New Roman"/>
          <w:color w:val="auto"/>
          <w:kern w:val="2"/>
          <w:sz w:val="32"/>
          <w:szCs w:val="32"/>
          <w:highlight w:val="none"/>
          <w:lang w:val="en-US" w:eastAsia="zh-CN" w:bidi="ar-SA"/>
        </w:rPr>
        <w:t>272,809</w:t>
      </w:r>
      <w:r>
        <w:rPr>
          <w:rFonts w:hint="eastAsia" w:ascii="仿宋_GB2312" w:eastAsia="仿宋_GB2312"/>
          <w:color w:val="auto"/>
          <w:sz w:val="32"/>
          <w:szCs w:val="32"/>
          <w:highlight w:val="none"/>
        </w:rPr>
        <w:t>万</w:t>
      </w:r>
      <w:r>
        <w:rPr>
          <w:rFonts w:hint="eastAsia" w:ascii="仿宋_GB2312" w:eastAsia="仿宋_GB2312"/>
          <w:color w:val="auto"/>
          <w:spacing w:val="-4"/>
          <w:sz w:val="32"/>
          <w:szCs w:val="32"/>
          <w:highlight w:val="none"/>
        </w:rPr>
        <w:t>元。一般公共预算支出</w:t>
      </w:r>
      <w:r>
        <w:rPr>
          <w:rFonts w:hint="eastAsia" w:ascii="仿宋_GB2312" w:hAnsi="Times New Roman" w:eastAsia="仿宋_GB2312" w:cs="Times New Roman"/>
          <w:color w:val="auto"/>
          <w:kern w:val="2"/>
          <w:sz w:val="32"/>
          <w:szCs w:val="32"/>
          <w:highlight w:val="none"/>
          <w:lang w:val="en-US" w:eastAsia="zh-CN" w:bidi="ar-SA"/>
        </w:rPr>
        <w:t>264,637</w:t>
      </w:r>
      <w:r>
        <w:rPr>
          <w:rFonts w:hint="eastAsia" w:ascii="仿宋_GB2312" w:eastAsia="仿宋_GB2312"/>
          <w:color w:val="auto"/>
          <w:sz w:val="32"/>
          <w:szCs w:val="32"/>
          <w:highlight w:val="none"/>
        </w:rPr>
        <w:t>万</w:t>
      </w:r>
      <w:r>
        <w:rPr>
          <w:rFonts w:hint="eastAsia" w:ascii="仿宋_GB2312" w:eastAsia="仿宋_GB2312"/>
          <w:color w:val="auto"/>
          <w:spacing w:val="-4"/>
          <w:sz w:val="32"/>
          <w:szCs w:val="32"/>
          <w:highlight w:val="none"/>
        </w:rPr>
        <w:t>元</w:t>
      </w:r>
      <w:r>
        <w:rPr>
          <w:rFonts w:hint="eastAsia" w:ascii="仿宋_GB2312" w:eastAsia="仿宋_GB2312"/>
          <w:color w:val="auto"/>
          <w:spacing w:val="-6"/>
          <w:sz w:val="32"/>
          <w:szCs w:val="32"/>
          <w:highlight w:val="none"/>
        </w:rPr>
        <w:t>，加</w:t>
      </w:r>
      <w:r>
        <w:rPr>
          <w:rFonts w:hint="eastAsia" w:ascii="仿宋_GB2312" w:eastAsia="仿宋_GB2312"/>
          <w:color w:val="auto"/>
          <w:spacing w:val="-4"/>
          <w:sz w:val="32"/>
          <w:szCs w:val="32"/>
          <w:highlight w:val="none"/>
        </w:rPr>
        <w:t>上解上级支出</w:t>
      </w:r>
      <w:r>
        <w:rPr>
          <w:rFonts w:hint="eastAsia" w:ascii="仿宋_GB2312" w:hAnsi="Times New Roman" w:eastAsia="仿宋_GB2312" w:cs="Times New Roman"/>
          <w:color w:val="auto"/>
          <w:kern w:val="2"/>
          <w:sz w:val="32"/>
          <w:szCs w:val="32"/>
          <w:highlight w:val="none"/>
          <w:lang w:val="en-US" w:eastAsia="zh-CN" w:bidi="ar-SA"/>
        </w:rPr>
        <w:t>8,172</w:t>
      </w:r>
      <w:r>
        <w:rPr>
          <w:rFonts w:hint="eastAsia" w:ascii="仿宋_GB2312" w:eastAsia="仿宋_GB2312"/>
          <w:color w:val="auto"/>
          <w:spacing w:val="-4"/>
          <w:sz w:val="32"/>
          <w:szCs w:val="32"/>
          <w:highlight w:val="none"/>
        </w:rPr>
        <w:t>万元，支出总</w:t>
      </w:r>
      <w:r>
        <w:rPr>
          <w:rFonts w:hint="eastAsia" w:ascii="仿宋_GB2312" w:hAnsi="Times New Roman" w:eastAsia="仿宋_GB2312" w:cs="Times New Roman"/>
          <w:color w:val="auto"/>
          <w:kern w:val="2"/>
          <w:sz w:val="32"/>
          <w:szCs w:val="32"/>
          <w:highlight w:val="none"/>
          <w:lang w:val="en-US" w:eastAsia="zh-CN" w:bidi="ar-SA"/>
        </w:rPr>
        <w:t>计272,809</w:t>
      </w:r>
      <w:r>
        <w:rPr>
          <w:rFonts w:hint="eastAsia" w:ascii="仿宋_GB2312" w:eastAsia="仿宋_GB2312"/>
          <w:color w:val="auto"/>
          <w:sz w:val="32"/>
          <w:szCs w:val="32"/>
          <w:highlight w:val="none"/>
        </w:rPr>
        <w:t>万</w:t>
      </w:r>
      <w:r>
        <w:rPr>
          <w:rFonts w:hint="eastAsia" w:ascii="仿宋_GB2312" w:eastAsia="仿宋_GB2312"/>
          <w:color w:val="auto"/>
          <w:spacing w:val="-4"/>
          <w:sz w:val="32"/>
          <w:szCs w:val="32"/>
          <w:highlight w:val="none"/>
        </w:rPr>
        <w:t>元。</w:t>
      </w:r>
      <w:r>
        <w:rPr>
          <w:rFonts w:hint="eastAsia" w:ascii="仿宋_GB2312" w:eastAsia="仿宋_GB2312"/>
          <w:color w:val="auto"/>
          <w:sz w:val="32"/>
          <w:szCs w:val="32"/>
          <w:highlight w:val="none"/>
        </w:rPr>
        <w:t>收支平衡。</w:t>
      </w:r>
    </w:p>
    <w:p>
      <w:pPr>
        <w:suppressAutoHyphens/>
        <w:spacing w:line="540" w:lineRule="exact"/>
        <w:ind w:firstLine="643" w:firstLineChars="200"/>
        <w:rPr>
          <w:rFonts w:ascii="仿宋_GB2312" w:eastAsia="仿宋_GB2312"/>
          <w:b/>
          <w:color w:val="auto"/>
          <w:sz w:val="32"/>
          <w:szCs w:val="32"/>
          <w:highlight w:val="none"/>
        </w:rPr>
      </w:pPr>
      <w:r>
        <w:rPr>
          <w:rFonts w:hint="eastAsia" w:ascii="仿宋_GB2312" w:eastAsia="仿宋_GB2312"/>
          <w:b/>
          <w:color w:val="auto"/>
          <w:sz w:val="32"/>
          <w:szCs w:val="32"/>
          <w:highlight w:val="none"/>
        </w:rPr>
        <w:t>3.政府性基金预算安排情况</w:t>
      </w:r>
    </w:p>
    <w:p>
      <w:pPr>
        <w:suppressAutoHyphens/>
        <w:spacing w:line="540" w:lineRule="exact"/>
        <w:ind w:firstLine="640" w:firstLineChars="200"/>
        <w:jc w:val="left"/>
        <w:rPr>
          <w:rFonts w:ascii="仿宋_GB2312" w:eastAsia="仿宋_GB2312" w:cs="宋体"/>
          <w:color w:val="auto"/>
          <w:kern w:val="0"/>
          <w:sz w:val="32"/>
          <w:szCs w:val="32"/>
          <w:highlight w:val="none"/>
          <w:lang w:val="zh-CN"/>
        </w:rPr>
      </w:pPr>
      <w:r>
        <w:rPr>
          <w:rFonts w:hint="eastAsia" w:ascii="仿宋_GB2312" w:eastAsia="仿宋_GB2312" w:cs="宋体"/>
          <w:color w:val="auto"/>
          <w:kern w:val="0"/>
          <w:sz w:val="32"/>
          <w:szCs w:val="32"/>
          <w:highlight w:val="none"/>
          <w:lang w:val="zh-CN"/>
        </w:rPr>
        <w:t>全县政府性基金收入预算安排</w:t>
      </w:r>
      <w:r>
        <w:rPr>
          <w:rFonts w:hint="eastAsia" w:ascii="仿宋_GB2312" w:hAnsi="Times New Roman" w:eastAsia="仿宋_GB2312" w:cs="Times New Roman"/>
          <w:color w:val="auto"/>
          <w:kern w:val="2"/>
          <w:sz w:val="32"/>
          <w:szCs w:val="32"/>
          <w:highlight w:val="none"/>
          <w:lang w:val="en-US" w:eastAsia="zh-CN" w:bidi="ar-SA"/>
        </w:rPr>
        <w:t>119,600</w:t>
      </w:r>
      <w:r>
        <w:rPr>
          <w:rFonts w:hint="eastAsia" w:ascii="仿宋_GB2312" w:eastAsia="仿宋_GB2312" w:cs="宋体"/>
          <w:color w:val="auto"/>
          <w:kern w:val="0"/>
          <w:sz w:val="32"/>
          <w:szCs w:val="32"/>
          <w:highlight w:val="none"/>
          <w:lang w:val="zh-CN"/>
        </w:rPr>
        <w:t>万元，加上级补助收入</w:t>
      </w:r>
      <w:r>
        <w:rPr>
          <w:rFonts w:hint="eastAsia" w:ascii="仿宋_GB2312" w:hAnsi="Times New Roman" w:eastAsia="仿宋_GB2312" w:cs="Times New Roman"/>
          <w:color w:val="auto"/>
          <w:kern w:val="2"/>
          <w:sz w:val="32"/>
          <w:szCs w:val="32"/>
          <w:highlight w:val="none"/>
          <w:lang w:val="en-US" w:eastAsia="zh-CN" w:bidi="ar-SA"/>
        </w:rPr>
        <w:t>392</w:t>
      </w:r>
      <w:r>
        <w:rPr>
          <w:rFonts w:hint="eastAsia" w:ascii="仿宋_GB2312" w:eastAsia="仿宋_GB2312" w:cs="宋体"/>
          <w:color w:val="auto"/>
          <w:kern w:val="0"/>
          <w:sz w:val="32"/>
          <w:szCs w:val="32"/>
          <w:highlight w:val="none"/>
          <w:lang w:val="en-US" w:eastAsia="zh-CN"/>
        </w:rPr>
        <w:t>万元，</w:t>
      </w:r>
      <w:r>
        <w:rPr>
          <w:rFonts w:hint="eastAsia" w:ascii="仿宋_GB2312" w:eastAsia="仿宋_GB2312" w:cs="宋体"/>
          <w:color w:val="auto"/>
          <w:kern w:val="0"/>
          <w:sz w:val="32"/>
          <w:szCs w:val="32"/>
          <w:highlight w:val="none"/>
        </w:rPr>
        <w:t>待偿债置换专项债券结余</w:t>
      </w:r>
      <w:r>
        <w:rPr>
          <w:rFonts w:hint="eastAsia" w:ascii="仿宋_GB2312" w:hAnsi="Times New Roman" w:eastAsia="仿宋_GB2312" w:cs="Times New Roman"/>
          <w:color w:val="auto"/>
          <w:kern w:val="2"/>
          <w:sz w:val="32"/>
          <w:szCs w:val="32"/>
          <w:highlight w:val="none"/>
          <w:lang w:val="en-US" w:eastAsia="zh-CN" w:bidi="ar-SA"/>
        </w:rPr>
        <w:t>41</w:t>
      </w:r>
      <w:r>
        <w:rPr>
          <w:rFonts w:hint="eastAsia" w:ascii="仿宋_GB2312" w:eastAsia="仿宋_GB2312" w:cs="宋体"/>
          <w:color w:val="auto"/>
          <w:kern w:val="0"/>
          <w:sz w:val="32"/>
          <w:szCs w:val="32"/>
          <w:highlight w:val="none"/>
        </w:rPr>
        <w:t>万元，</w:t>
      </w:r>
      <w:r>
        <w:rPr>
          <w:rFonts w:hint="eastAsia" w:ascii="仿宋_GB2312" w:eastAsia="仿宋_GB2312" w:cs="宋体"/>
          <w:color w:val="auto"/>
          <w:kern w:val="0"/>
          <w:sz w:val="32"/>
          <w:szCs w:val="32"/>
          <w:highlight w:val="none"/>
          <w:lang w:eastAsia="zh-CN"/>
        </w:rPr>
        <w:t>上年结转收入</w:t>
      </w:r>
      <w:r>
        <w:rPr>
          <w:rFonts w:hint="eastAsia" w:ascii="仿宋_GB2312" w:hAnsi="Times New Roman" w:eastAsia="仿宋_GB2312" w:cs="Times New Roman"/>
          <w:color w:val="auto"/>
          <w:kern w:val="2"/>
          <w:sz w:val="32"/>
          <w:szCs w:val="32"/>
          <w:highlight w:val="none"/>
          <w:lang w:val="en-US" w:eastAsia="zh-CN" w:bidi="ar-SA"/>
        </w:rPr>
        <w:t>9,402</w:t>
      </w:r>
      <w:r>
        <w:rPr>
          <w:rFonts w:hint="eastAsia" w:ascii="仿宋_GB2312" w:eastAsia="仿宋_GB2312" w:cs="宋体"/>
          <w:color w:val="auto"/>
          <w:kern w:val="0"/>
          <w:sz w:val="32"/>
          <w:szCs w:val="32"/>
          <w:highlight w:val="none"/>
          <w:lang w:val="en-US" w:eastAsia="zh-CN"/>
        </w:rPr>
        <w:t>万元，</w:t>
      </w:r>
      <w:r>
        <w:rPr>
          <w:rFonts w:hint="eastAsia" w:ascii="仿宋_GB2312" w:eastAsia="仿宋_GB2312" w:cs="宋体"/>
          <w:color w:val="auto"/>
          <w:kern w:val="0"/>
          <w:sz w:val="32"/>
          <w:szCs w:val="32"/>
          <w:highlight w:val="none"/>
        </w:rPr>
        <w:t>收入合计</w:t>
      </w:r>
      <w:r>
        <w:rPr>
          <w:rFonts w:hint="eastAsia" w:ascii="仿宋_GB2312" w:hAnsi="Times New Roman" w:eastAsia="仿宋_GB2312" w:cs="Times New Roman"/>
          <w:color w:val="auto"/>
          <w:kern w:val="2"/>
          <w:sz w:val="32"/>
          <w:szCs w:val="32"/>
          <w:highlight w:val="none"/>
          <w:lang w:val="en-US" w:eastAsia="zh-CN" w:bidi="ar-SA"/>
        </w:rPr>
        <w:t>129,435</w:t>
      </w:r>
      <w:r>
        <w:rPr>
          <w:rFonts w:hint="eastAsia" w:ascii="仿宋_GB2312" w:eastAsia="仿宋_GB2312" w:cs="宋体"/>
          <w:color w:val="auto"/>
          <w:kern w:val="0"/>
          <w:sz w:val="32"/>
          <w:szCs w:val="32"/>
          <w:highlight w:val="none"/>
        </w:rPr>
        <w:t>万元。政府性预算支出安排</w:t>
      </w:r>
      <w:r>
        <w:rPr>
          <w:rFonts w:hint="eastAsia" w:ascii="仿宋_GB2312" w:hAnsi="Times New Roman" w:eastAsia="仿宋_GB2312" w:cs="Times New Roman"/>
          <w:color w:val="auto"/>
          <w:kern w:val="2"/>
          <w:sz w:val="32"/>
          <w:szCs w:val="32"/>
          <w:highlight w:val="none"/>
          <w:lang w:val="en-US" w:eastAsia="zh-CN" w:bidi="ar-SA"/>
        </w:rPr>
        <w:t>96,794</w:t>
      </w:r>
      <w:r>
        <w:rPr>
          <w:rFonts w:hint="eastAsia" w:ascii="仿宋_GB2312" w:eastAsia="仿宋_GB2312" w:cs="宋体"/>
          <w:color w:val="auto"/>
          <w:kern w:val="0"/>
          <w:sz w:val="32"/>
          <w:szCs w:val="32"/>
          <w:highlight w:val="none"/>
        </w:rPr>
        <w:t>万元，</w:t>
      </w:r>
      <w:r>
        <w:rPr>
          <w:rFonts w:hint="eastAsia" w:ascii="仿宋_GB2312" w:eastAsia="仿宋_GB2312"/>
          <w:color w:val="auto"/>
          <w:spacing w:val="-4"/>
          <w:sz w:val="32"/>
          <w:szCs w:val="32"/>
          <w:highlight w:val="none"/>
          <w:lang w:val="zh-CN"/>
        </w:rPr>
        <w:t>加</w:t>
      </w:r>
      <w:r>
        <w:rPr>
          <w:rFonts w:hint="eastAsia" w:ascii="仿宋_GB2312" w:eastAsia="仿宋_GB2312" w:cs="宋体"/>
          <w:color w:val="auto"/>
          <w:kern w:val="0"/>
          <w:sz w:val="32"/>
          <w:szCs w:val="32"/>
          <w:highlight w:val="none"/>
        </w:rPr>
        <w:t>待偿债置换专项债券结余</w:t>
      </w:r>
      <w:r>
        <w:rPr>
          <w:rFonts w:hint="eastAsia" w:ascii="仿宋_GB2312" w:hAnsi="Times New Roman" w:eastAsia="仿宋_GB2312" w:cs="Times New Roman"/>
          <w:color w:val="auto"/>
          <w:kern w:val="2"/>
          <w:sz w:val="32"/>
          <w:szCs w:val="32"/>
          <w:highlight w:val="none"/>
          <w:lang w:val="en-US" w:eastAsia="zh-CN" w:bidi="ar-SA"/>
        </w:rPr>
        <w:t>41</w:t>
      </w:r>
      <w:r>
        <w:rPr>
          <w:rFonts w:hint="eastAsia" w:ascii="仿宋_GB2312" w:eastAsia="仿宋_GB2312" w:cs="宋体"/>
          <w:color w:val="auto"/>
          <w:kern w:val="0"/>
          <w:sz w:val="32"/>
          <w:szCs w:val="32"/>
          <w:highlight w:val="none"/>
        </w:rPr>
        <w:t>万元，</w:t>
      </w:r>
      <w:r>
        <w:rPr>
          <w:rFonts w:hint="eastAsia" w:ascii="仿宋_GB2312" w:eastAsia="仿宋_GB2312" w:cs="宋体"/>
          <w:color w:val="auto"/>
          <w:kern w:val="0"/>
          <w:sz w:val="32"/>
          <w:szCs w:val="32"/>
          <w:highlight w:val="none"/>
          <w:lang w:val="zh-CN"/>
        </w:rPr>
        <w:t>调出资金</w:t>
      </w:r>
      <w:r>
        <w:rPr>
          <w:rFonts w:hint="eastAsia" w:ascii="仿宋_GB2312" w:hAnsi="Times New Roman" w:eastAsia="仿宋_GB2312" w:cs="Times New Roman"/>
          <w:color w:val="auto"/>
          <w:kern w:val="2"/>
          <w:sz w:val="32"/>
          <w:szCs w:val="32"/>
          <w:highlight w:val="none"/>
          <w:lang w:val="en-US" w:eastAsia="zh-CN" w:bidi="ar-SA"/>
        </w:rPr>
        <w:t>32,600</w:t>
      </w:r>
      <w:r>
        <w:rPr>
          <w:rFonts w:hint="eastAsia" w:ascii="仿宋_GB2312" w:eastAsia="仿宋_GB2312"/>
          <w:color w:val="auto"/>
          <w:sz w:val="32"/>
          <w:szCs w:val="32"/>
          <w:highlight w:val="none"/>
        </w:rPr>
        <w:t>万元，</w:t>
      </w:r>
      <w:r>
        <w:rPr>
          <w:rFonts w:hint="eastAsia" w:ascii="仿宋_GB2312" w:eastAsia="仿宋_GB2312" w:cs="宋体"/>
          <w:color w:val="auto"/>
          <w:kern w:val="0"/>
          <w:sz w:val="32"/>
          <w:szCs w:val="32"/>
          <w:highlight w:val="none"/>
          <w:lang w:val="zh-CN"/>
        </w:rPr>
        <w:t>支出合计</w:t>
      </w:r>
      <w:r>
        <w:rPr>
          <w:rFonts w:hint="eastAsia" w:ascii="仿宋_GB2312" w:hAnsi="Times New Roman" w:eastAsia="仿宋_GB2312" w:cs="Times New Roman"/>
          <w:color w:val="auto"/>
          <w:kern w:val="2"/>
          <w:sz w:val="32"/>
          <w:szCs w:val="32"/>
          <w:highlight w:val="none"/>
          <w:lang w:val="en-US" w:eastAsia="zh-CN" w:bidi="ar-SA"/>
        </w:rPr>
        <w:t>129,435</w:t>
      </w:r>
      <w:r>
        <w:rPr>
          <w:rFonts w:hint="eastAsia" w:ascii="仿宋_GB2312" w:eastAsia="仿宋_GB2312" w:cs="宋体"/>
          <w:color w:val="auto"/>
          <w:kern w:val="0"/>
          <w:sz w:val="32"/>
          <w:szCs w:val="32"/>
          <w:highlight w:val="none"/>
          <w:lang w:val="zh-CN"/>
        </w:rPr>
        <w:t>万元。收支平衡。</w:t>
      </w:r>
    </w:p>
    <w:p>
      <w:pPr>
        <w:suppressAutoHyphens/>
        <w:spacing w:line="540" w:lineRule="exact"/>
        <w:ind w:firstLine="643" w:firstLineChars="200"/>
        <w:rPr>
          <w:rFonts w:ascii="仿宋_GB2312" w:eastAsia="仿宋_GB2312" w:cs="宋体"/>
          <w:b/>
          <w:color w:val="auto"/>
          <w:kern w:val="0"/>
          <w:sz w:val="32"/>
          <w:szCs w:val="32"/>
          <w:highlight w:val="none"/>
          <w:lang w:val="zh-CN"/>
        </w:rPr>
      </w:pPr>
      <w:r>
        <w:rPr>
          <w:rFonts w:hint="eastAsia" w:ascii="仿宋_GB2312" w:eastAsia="仿宋_GB2312" w:cs="宋体"/>
          <w:b/>
          <w:color w:val="auto"/>
          <w:kern w:val="0"/>
          <w:sz w:val="32"/>
          <w:szCs w:val="32"/>
          <w:highlight w:val="none"/>
          <w:lang w:val="zh-CN"/>
        </w:rPr>
        <w:t>4.社会保险基金预算安排情况</w:t>
      </w:r>
    </w:p>
    <w:p>
      <w:pPr>
        <w:suppressAutoHyphens/>
        <w:spacing w:line="540" w:lineRule="exact"/>
        <w:ind w:firstLine="640" w:firstLineChars="200"/>
        <w:rPr>
          <w:rFonts w:ascii="仿宋_GB2312" w:eastAsia="仿宋_GB2312" w:cs="宋体"/>
          <w:b/>
          <w:color w:val="auto"/>
          <w:kern w:val="0"/>
          <w:sz w:val="32"/>
          <w:szCs w:val="32"/>
          <w:highlight w:val="none"/>
          <w:lang w:val="zh-CN"/>
        </w:rPr>
      </w:pPr>
      <w:r>
        <w:rPr>
          <w:rFonts w:hint="eastAsia" w:ascii="仿宋_GB2312" w:eastAsia="仿宋_GB2312" w:cs="宋体"/>
          <w:color w:val="auto"/>
          <w:kern w:val="0"/>
          <w:sz w:val="32"/>
          <w:szCs w:val="32"/>
          <w:highlight w:val="none"/>
          <w:lang w:val="zh-CN"/>
        </w:rPr>
        <w:t>全县社会保险基金收入预算安排</w:t>
      </w:r>
      <w:r>
        <w:rPr>
          <w:rFonts w:hint="eastAsia" w:ascii="仿宋_GB2312" w:hAnsi="Times New Roman" w:eastAsia="仿宋_GB2312" w:cs="Times New Roman"/>
          <w:color w:val="auto"/>
          <w:kern w:val="2"/>
          <w:sz w:val="32"/>
          <w:szCs w:val="32"/>
          <w:highlight w:val="none"/>
          <w:lang w:val="en-US" w:eastAsia="zh-CN" w:bidi="ar-SA"/>
        </w:rPr>
        <w:t>26,220</w:t>
      </w:r>
      <w:r>
        <w:rPr>
          <w:rFonts w:hint="eastAsia" w:ascii="仿宋_GB2312" w:eastAsia="仿宋_GB2312" w:cs="宋体"/>
          <w:color w:val="auto"/>
          <w:kern w:val="0"/>
          <w:sz w:val="32"/>
          <w:szCs w:val="32"/>
          <w:highlight w:val="none"/>
          <w:lang w:val="zh-CN"/>
        </w:rPr>
        <w:t>万元，加上年滚存结余</w:t>
      </w:r>
      <w:r>
        <w:rPr>
          <w:rFonts w:hint="eastAsia" w:ascii="仿宋_GB2312" w:hAnsi="Times New Roman" w:eastAsia="仿宋_GB2312" w:cs="Times New Roman"/>
          <w:color w:val="auto"/>
          <w:kern w:val="2"/>
          <w:sz w:val="32"/>
          <w:szCs w:val="32"/>
          <w:highlight w:val="none"/>
          <w:lang w:val="en-US" w:eastAsia="zh-CN" w:bidi="ar-SA"/>
        </w:rPr>
        <w:t>7,299</w:t>
      </w:r>
      <w:r>
        <w:rPr>
          <w:rFonts w:hint="eastAsia" w:ascii="仿宋_GB2312" w:eastAsia="仿宋_GB2312" w:cs="宋体"/>
          <w:color w:val="auto"/>
          <w:kern w:val="0"/>
          <w:sz w:val="32"/>
          <w:szCs w:val="32"/>
          <w:highlight w:val="none"/>
          <w:lang w:val="en-US" w:eastAsia="zh-CN"/>
        </w:rPr>
        <w:t>万元，收入合计</w:t>
      </w:r>
      <w:r>
        <w:rPr>
          <w:rFonts w:hint="eastAsia" w:ascii="仿宋_GB2312" w:hAnsi="Times New Roman" w:eastAsia="仿宋_GB2312" w:cs="Times New Roman"/>
          <w:color w:val="auto"/>
          <w:kern w:val="2"/>
          <w:sz w:val="32"/>
          <w:szCs w:val="32"/>
          <w:highlight w:val="none"/>
          <w:lang w:val="en-US" w:eastAsia="zh-CN" w:bidi="ar-SA"/>
        </w:rPr>
        <w:t>33,519</w:t>
      </w:r>
      <w:r>
        <w:rPr>
          <w:rFonts w:hint="eastAsia" w:ascii="仿宋_GB2312" w:eastAsia="仿宋_GB2312" w:cs="宋体"/>
          <w:color w:val="auto"/>
          <w:kern w:val="0"/>
          <w:sz w:val="32"/>
          <w:szCs w:val="32"/>
          <w:highlight w:val="none"/>
          <w:lang w:val="en-US" w:eastAsia="zh-CN"/>
        </w:rPr>
        <w:t>万元。</w:t>
      </w:r>
      <w:r>
        <w:rPr>
          <w:rFonts w:hint="eastAsia" w:ascii="仿宋_GB2312" w:eastAsia="仿宋_GB2312" w:cs="宋体"/>
          <w:color w:val="auto"/>
          <w:kern w:val="0"/>
          <w:sz w:val="32"/>
          <w:szCs w:val="32"/>
          <w:highlight w:val="none"/>
          <w:lang w:val="zh-CN"/>
        </w:rPr>
        <w:t>社会保险基金支出预算安排</w:t>
      </w:r>
      <w:r>
        <w:rPr>
          <w:rFonts w:hint="eastAsia" w:ascii="仿宋_GB2312" w:hAnsi="Times New Roman" w:eastAsia="仿宋_GB2312" w:cs="Times New Roman"/>
          <w:color w:val="auto"/>
          <w:kern w:val="2"/>
          <w:sz w:val="32"/>
          <w:szCs w:val="32"/>
          <w:highlight w:val="none"/>
          <w:lang w:val="en-US" w:eastAsia="zh-CN" w:bidi="ar-SA"/>
        </w:rPr>
        <w:t>33,519</w:t>
      </w:r>
      <w:r>
        <w:rPr>
          <w:rFonts w:hint="eastAsia" w:ascii="仿宋_GB2312" w:eastAsia="仿宋_GB2312" w:cs="宋体"/>
          <w:color w:val="auto"/>
          <w:kern w:val="0"/>
          <w:sz w:val="32"/>
          <w:szCs w:val="32"/>
          <w:highlight w:val="none"/>
          <w:lang w:val="zh-CN"/>
        </w:rPr>
        <w:t>万元（含城乡居民基本养老保险基金上解市级</w:t>
      </w:r>
      <w:r>
        <w:rPr>
          <w:rFonts w:hint="eastAsia" w:ascii="仿宋_GB2312" w:hAnsi="Times New Roman" w:eastAsia="仿宋_GB2312" w:cs="Times New Roman"/>
          <w:color w:val="auto"/>
          <w:kern w:val="2"/>
          <w:sz w:val="32"/>
          <w:szCs w:val="32"/>
          <w:highlight w:val="none"/>
          <w:lang w:val="en-US" w:eastAsia="zh-CN" w:bidi="ar-SA"/>
        </w:rPr>
        <w:t>7,299</w:t>
      </w:r>
      <w:r>
        <w:rPr>
          <w:rFonts w:hint="eastAsia" w:ascii="仿宋_GB2312" w:eastAsia="仿宋_GB2312" w:cs="宋体"/>
          <w:color w:val="auto"/>
          <w:kern w:val="0"/>
          <w:sz w:val="32"/>
          <w:szCs w:val="32"/>
          <w:highlight w:val="none"/>
          <w:lang w:val="en-US" w:eastAsia="zh-CN"/>
        </w:rPr>
        <w:t>万元</w:t>
      </w:r>
      <w:r>
        <w:rPr>
          <w:rFonts w:hint="eastAsia" w:ascii="仿宋_GB2312" w:eastAsia="仿宋_GB2312" w:cs="宋体"/>
          <w:color w:val="auto"/>
          <w:kern w:val="0"/>
          <w:sz w:val="32"/>
          <w:szCs w:val="32"/>
          <w:highlight w:val="none"/>
          <w:lang w:val="zh-CN"/>
        </w:rPr>
        <w:t>）</w:t>
      </w:r>
      <w:r>
        <w:rPr>
          <w:rFonts w:hint="eastAsia" w:ascii="仿宋_GB2312" w:eastAsia="仿宋_GB2312" w:cs="宋体"/>
          <w:color w:val="auto"/>
          <w:kern w:val="0"/>
          <w:sz w:val="32"/>
          <w:szCs w:val="32"/>
          <w:highlight w:val="none"/>
        </w:rPr>
        <w:t>。</w:t>
      </w:r>
      <w:r>
        <w:rPr>
          <w:rFonts w:hint="eastAsia" w:ascii="仿宋_GB2312" w:eastAsia="仿宋_GB2312" w:cs="宋体"/>
          <w:color w:val="auto"/>
          <w:kern w:val="0"/>
          <w:sz w:val="32"/>
          <w:szCs w:val="32"/>
          <w:highlight w:val="none"/>
          <w:lang w:val="zh-CN"/>
        </w:rPr>
        <w:t>收支平衡。因从</w:t>
      </w:r>
      <w:r>
        <w:rPr>
          <w:rFonts w:hint="eastAsia" w:ascii="仿宋_GB2312" w:eastAsia="仿宋_GB2312" w:cs="宋体"/>
          <w:color w:val="auto"/>
          <w:kern w:val="0"/>
          <w:sz w:val="32"/>
          <w:szCs w:val="32"/>
          <w:highlight w:val="none"/>
        </w:rPr>
        <w:t>2022年5月起，城乡居民基本养老保险已上划市级统筹，县级社保基金预算只有机关事业单位基本养老保险，按照政策规定，机关事业单位基本养老保险基金缺口由财政进行补足，因此2023年全县社保基金预算按照收支平衡原则安排。</w:t>
      </w:r>
    </w:p>
    <w:p>
      <w:pPr>
        <w:suppressAutoHyphens/>
        <w:spacing w:line="540" w:lineRule="exact"/>
        <w:ind w:firstLine="643" w:firstLineChars="200"/>
        <w:rPr>
          <w:rFonts w:ascii="仿宋_GB2312" w:eastAsia="仿宋_GB2312" w:cs="宋体"/>
          <w:b/>
          <w:color w:val="auto"/>
          <w:kern w:val="0"/>
          <w:sz w:val="32"/>
          <w:szCs w:val="32"/>
          <w:highlight w:val="none"/>
          <w:lang w:val="zh-CN"/>
        </w:rPr>
      </w:pPr>
      <w:r>
        <w:rPr>
          <w:rFonts w:hint="eastAsia" w:ascii="仿宋_GB2312" w:eastAsia="仿宋_GB2312" w:cs="宋体"/>
          <w:b/>
          <w:color w:val="auto"/>
          <w:kern w:val="0"/>
          <w:sz w:val="32"/>
          <w:szCs w:val="32"/>
          <w:highlight w:val="none"/>
          <w:lang w:val="zh-CN"/>
        </w:rPr>
        <w:t>5.国有资本经营预算安排情况</w:t>
      </w:r>
    </w:p>
    <w:p>
      <w:pPr>
        <w:pStyle w:val="6"/>
        <w:widowControl w:val="0"/>
        <w:suppressAutoHyphens/>
        <w:spacing w:before="0" w:beforeAutospacing="0" w:after="0" w:afterAutospacing="0" w:line="540" w:lineRule="exact"/>
        <w:ind w:firstLine="627" w:firstLineChars="196"/>
        <w:rPr>
          <w:rFonts w:hint="eastAsia" w:ascii="仿宋_GB2312" w:eastAsia="仿宋_GB2312" w:cs="宋体"/>
          <w:color w:val="auto"/>
          <w:kern w:val="0"/>
          <w:sz w:val="32"/>
          <w:szCs w:val="32"/>
          <w:highlight w:val="none"/>
          <w:lang w:val="zh-CN"/>
        </w:rPr>
      </w:pPr>
      <w:r>
        <w:rPr>
          <w:rFonts w:hint="eastAsia" w:ascii="仿宋_GB2312" w:eastAsia="仿宋_GB2312" w:cs="宋体"/>
          <w:color w:val="auto"/>
          <w:kern w:val="0"/>
          <w:sz w:val="32"/>
          <w:szCs w:val="32"/>
          <w:highlight w:val="none"/>
          <w:lang w:val="zh-CN"/>
        </w:rPr>
        <w:t>全县国有资本经营预算收入安排</w:t>
      </w:r>
      <w:r>
        <w:rPr>
          <w:rFonts w:hint="eastAsia" w:ascii="仿宋_GB2312" w:hAnsi="Times New Roman" w:eastAsia="仿宋_GB2312" w:cs="Times New Roman"/>
          <w:color w:val="auto"/>
          <w:kern w:val="2"/>
          <w:sz w:val="32"/>
          <w:szCs w:val="32"/>
          <w:highlight w:val="none"/>
          <w:lang w:val="en-US" w:eastAsia="zh-CN" w:bidi="ar-SA"/>
        </w:rPr>
        <w:t>320</w:t>
      </w:r>
      <w:r>
        <w:rPr>
          <w:rFonts w:hint="eastAsia" w:ascii="仿宋_GB2312" w:eastAsia="仿宋_GB2312" w:cs="宋体"/>
          <w:color w:val="auto"/>
          <w:kern w:val="0"/>
          <w:sz w:val="32"/>
          <w:szCs w:val="32"/>
          <w:highlight w:val="none"/>
          <w:lang w:val="zh-CN"/>
        </w:rPr>
        <w:t>万元，调入一般公共预算</w:t>
      </w:r>
      <w:r>
        <w:rPr>
          <w:rFonts w:hint="eastAsia" w:ascii="仿宋_GB2312" w:hAnsi="Times New Roman" w:eastAsia="仿宋_GB2312" w:cs="Times New Roman"/>
          <w:color w:val="auto"/>
          <w:kern w:val="2"/>
          <w:sz w:val="32"/>
          <w:szCs w:val="32"/>
          <w:highlight w:val="none"/>
          <w:lang w:val="en-US" w:eastAsia="zh-CN" w:bidi="ar-SA"/>
        </w:rPr>
        <w:t>320</w:t>
      </w:r>
      <w:r>
        <w:rPr>
          <w:rFonts w:hint="eastAsia" w:ascii="仿宋_GB2312" w:eastAsia="仿宋_GB2312"/>
          <w:color w:val="auto"/>
          <w:sz w:val="32"/>
          <w:szCs w:val="32"/>
          <w:highlight w:val="none"/>
        </w:rPr>
        <w:t>万元</w:t>
      </w:r>
      <w:r>
        <w:rPr>
          <w:rFonts w:hint="eastAsia" w:ascii="仿宋_GB2312" w:eastAsia="仿宋_GB2312" w:cs="宋体"/>
          <w:color w:val="auto"/>
          <w:kern w:val="0"/>
          <w:sz w:val="32"/>
          <w:szCs w:val="32"/>
          <w:highlight w:val="none"/>
          <w:lang w:val="zh-CN"/>
        </w:rPr>
        <w:t>。收支平衡。</w:t>
      </w:r>
    </w:p>
    <w:p>
      <w:pPr>
        <w:pStyle w:val="6"/>
        <w:widowControl w:val="0"/>
        <w:suppressAutoHyphens/>
        <w:spacing w:before="0" w:beforeAutospacing="0" w:after="0" w:afterAutospacing="0" w:line="540" w:lineRule="exact"/>
        <w:ind w:firstLine="627" w:firstLineChars="196"/>
        <w:rPr>
          <w:rFonts w:ascii="黑体" w:hAnsi="黑体" w:eastAsia="黑体" w:cs="宋体"/>
          <w:color w:val="auto"/>
          <w:sz w:val="32"/>
          <w:szCs w:val="32"/>
          <w:highlight w:val="none"/>
        </w:rPr>
      </w:pPr>
      <w:r>
        <w:rPr>
          <w:rFonts w:hint="eastAsia" w:ascii="黑体" w:hAnsi="黑体" w:eastAsia="黑体"/>
          <w:color w:val="auto"/>
          <w:sz w:val="32"/>
          <w:szCs w:val="32"/>
          <w:highlight w:val="none"/>
        </w:rPr>
        <w:t>三、</w:t>
      </w:r>
      <w:r>
        <w:rPr>
          <w:rFonts w:hint="eastAsia" w:ascii="黑体" w:hAnsi="黑体" w:eastAsia="黑体" w:cs="宋体"/>
          <w:bCs/>
          <w:color w:val="auto"/>
          <w:sz w:val="32"/>
          <w:szCs w:val="32"/>
          <w:highlight w:val="none"/>
        </w:rPr>
        <w:t>2023年财政工作主要任务</w:t>
      </w:r>
    </w:p>
    <w:p>
      <w:pPr>
        <w:pStyle w:val="14"/>
        <w:widowControl w:val="0"/>
        <w:suppressAutoHyphens/>
        <w:spacing w:before="0" w:beforeAutospacing="0" w:after="0" w:afterAutospacing="0" w:line="54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2023年，我们将坚持以习近平新时代中国特色社会主义思想为指导，全面贯彻落实党的二十大精神和中央、省、市、县经济工作会议精神，认真落实《预算法》《预算法实施条例》规定</w:t>
      </w:r>
      <w:r>
        <w:rPr>
          <w:rFonts w:hint="eastAsia" w:ascii="仿宋_GB2312" w:eastAsia="仿宋_GB2312"/>
          <w:color w:val="auto"/>
          <w:sz w:val="32"/>
          <w:szCs w:val="32"/>
          <w:highlight w:val="none"/>
        </w:rPr>
        <w:t>，紧紧围绕县委决策部署，</w:t>
      </w:r>
      <w:r>
        <w:rPr>
          <w:rFonts w:hint="eastAsia" w:ascii="仿宋_GB2312" w:hAnsi="仿宋" w:eastAsia="仿宋_GB2312"/>
          <w:color w:val="auto"/>
          <w:sz w:val="32"/>
          <w:szCs w:val="32"/>
          <w:highlight w:val="none"/>
        </w:rPr>
        <w:t>统筹推进稳增长、促改革、调结构、惠民生、防风险、保稳定各项工作。</w:t>
      </w:r>
    </w:p>
    <w:p>
      <w:pPr>
        <w:shd w:val="clear" w:color="auto" w:fill="FFFFFF"/>
        <w:suppressAutoHyphens/>
        <w:spacing w:line="540" w:lineRule="exact"/>
        <w:ind w:firstLine="640" w:firstLineChars="200"/>
        <w:rPr>
          <w:rFonts w:ascii="仿宋_GB2312" w:hAnsi="宋体" w:eastAsia="仿宋_GB2312" w:cs="宋体"/>
          <w:color w:val="auto"/>
          <w:kern w:val="0"/>
          <w:sz w:val="32"/>
          <w:szCs w:val="32"/>
          <w:highlight w:val="none"/>
        </w:rPr>
      </w:pPr>
      <w:r>
        <w:rPr>
          <w:rFonts w:hint="eastAsia" w:ascii="楷体_GB2312" w:eastAsia="楷体_GB2312" w:cs="宋体"/>
          <w:color w:val="auto"/>
          <w:kern w:val="0"/>
          <w:sz w:val="32"/>
          <w:szCs w:val="32"/>
          <w:highlight w:val="none"/>
          <w:lang w:val="zh-CN"/>
        </w:rPr>
        <w:t>（一）提升财政效能，多管齐下促增收。</w:t>
      </w:r>
      <w:r>
        <w:rPr>
          <w:rFonts w:hint="eastAsia" w:ascii="仿宋_GB2312" w:eastAsia="仿宋_GB2312"/>
          <w:color w:val="auto"/>
          <w:sz w:val="32"/>
          <w:szCs w:val="32"/>
          <w:highlight w:val="none"/>
        </w:rPr>
        <w:t>以高质量发展统揽全局，精准实施积极的财政政策，更加注重纾困解难、惠企利民，落实目标责任，确保完成年度收入任务。</w:t>
      </w:r>
      <w:r>
        <w:rPr>
          <w:rFonts w:hint="eastAsia" w:ascii="仿宋_GB2312" w:eastAsia="仿宋_GB2312"/>
          <w:b/>
          <w:bCs/>
          <w:color w:val="auto"/>
          <w:sz w:val="32"/>
          <w:szCs w:val="32"/>
          <w:highlight w:val="none"/>
        </w:rPr>
        <w:t>一是</w:t>
      </w:r>
      <w:r>
        <w:rPr>
          <w:rFonts w:hint="eastAsia" w:ascii="仿宋_GB2312" w:eastAsia="仿宋_GB2312"/>
          <w:color w:val="auto"/>
          <w:sz w:val="32"/>
          <w:szCs w:val="32"/>
          <w:highlight w:val="none"/>
        </w:rPr>
        <w:t>不折不扣执行减税降费政策，</w:t>
      </w:r>
      <w:r>
        <w:rPr>
          <w:rFonts w:hint="eastAsia" w:ascii="仿宋_GB2312" w:hAnsi="宋体" w:eastAsia="仿宋_GB2312" w:cs="宋体"/>
          <w:color w:val="auto"/>
          <w:kern w:val="0"/>
          <w:sz w:val="32"/>
          <w:szCs w:val="32"/>
          <w:highlight w:val="none"/>
        </w:rPr>
        <w:t>切实做到应退尽退、应减尽减、应缓尽缓，有效减轻企业负担，支持企业发展壮大，培育涵养税源，增强财政增收后劲。</w:t>
      </w:r>
      <w:r>
        <w:rPr>
          <w:rFonts w:hint="eastAsia" w:ascii="仿宋_GB2312" w:hAnsi="宋体" w:eastAsia="仿宋_GB2312" w:cs="宋体"/>
          <w:b/>
          <w:color w:val="auto"/>
          <w:kern w:val="0"/>
          <w:sz w:val="32"/>
          <w:szCs w:val="32"/>
          <w:highlight w:val="none"/>
        </w:rPr>
        <w:t>二是</w:t>
      </w:r>
      <w:r>
        <w:rPr>
          <w:rFonts w:hint="eastAsia" w:ascii="仿宋_GB2312" w:hAnsi="宋体" w:eastAsia="仿宋_GB2312" w:cs="宋体"/>
          <w:color w:val="auto"/>
          <w:kern w:val="0"/>
          <w:sz w:val="32"/>
          <w:szCs w:val="32"/>
          <w:highlight w:val="none"/>
        </w:rPr>
        <w:t>严格执行收费公示制度，确保各项收费公开、透明，严格执行非税收入设立、征收和缴纳的规定，坚决防止乱收费行为，推动优化营商环境，切实提高财政收入质量。</w:t>
      </w:r>
      <w:r>
        <w:rPr>
          <w:rFonts w:hint="eastAsia" w:ascii="仿宋_GB2312" w:hAnsi="宋体" w:eastAsia="仿宋_GB2312" w:cs="宋体"/>
          <w:b/>
          <w:bCs/>
          <w:color w:val="auto"/>
          <w:kern w:val="0"/>
          <w:sz w:val="32"/>
          <w:szCs w:val="32"/>
          <w:highlight w:val="none"/>
        </w:rPr>
        <w:t>三是</w:t>
      </w:r>
      <w:r>
        <w:rPr>
          <w:rFonts w:hint="eastAsia" w:ascii="仿宋_GB2312" w:hAnsi="宋体" w:eastAsia="仿宋_GB2312" w:cs="宋体"/>
          <w:color w:val="auto"/>
          <w:kern w:val="0"/>
          <w:sz w:val="32"/>
          <w:szCs w:val="32"/>
          <w:highlight w:val="none"/>
        </w:rPr>
        <w:t>加强部门联动，进一步完善综合治税、协税护税制度，强化重点企业、重点税源跟踪服务，定期研判收入形势，及时</w:t>
      </w:r>
      <w:r>
        <w:rPr>
          <w:rFonts w:hint="eastAsia" w:ascii="仿宋_GB2312" w:hAnsi="仿宋_GB2312" w:eastAsia="仿宋_GB2312" w:cs="仿宋_GB2312"/>
          <w:bCs/>
          <w:color w:val="auto"/>
          <w:sz w:val="32"/>
          <w:szCs w:val="32"/>
          <w:highlight w:val="none"/>
        </w:rPr>
        <w:t>堵塞征管漏洞，防止税收流失，坚决做到依法征收、应收尽收，确保完成年度一般公共预算收入目标</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b/>
          <w:bCs/>
          <w:color w:val="auto"/>
          <w:kern w:val="0"/>
          <w:sz w:val="32"/>
          <w:szCs w:val="32"/>
          <w:highlight w:val="none"/>
        </w:rPr>
        <w:t>四是</w:t>
      </w:r>
      <w:r>
        <w:rPr>
          <w:rFonts w:hint="eastAsia" w:ascii="仿宋_GB2312" w:hAnsi="宋体" w:eastAsia="仿宋_GB2312" w:cs="宋体"/>
          <w:color w:val="auto"/>
          <w:kern w:val="0"/>
          <w:sz w:val="32"/>
          <w:szCs w:val="32"/>
          <w:highlight w:val="none"/>
        </w:rPr>
        <w:t>加快土地收储运营，加大挂牌出让力度，狠抓欠缴土地价款清收，做大做强国有土地出让收益，确保按期完成政府性基金预算收入目标。</w:t>
      </w:r>
    </w:p>
    <w:p>
      <w:pPr>
        <w:autoSpaceDE w:val="0"/>
        <w:autoSpaceDN w:val="0"/>
        <w:adjustRightInd w:val="0"/>
        <w:spacing w:line="540" w:lineRule="exact"/>
        <w:ind w:firstLine="640" w:firstLineChars="200"/>
        <w:jc w:val="left"/>
        <w:rPr>
          <w:rFonts w:ascii="仿宋_GB2312" w:hAnsi="宋体" w:eastAsia="仿宋_GB2312" w:cs="宋体"/>
          <w:color w:val="auto"/>
          <w:kern w:val="0"/>
          <w:sz w:val="32"/>
          <w:szCs w:val="32"/>
          <w:highlight w:val="none"/>
          <w:lang w:val="zh-CN"/>
        </w:rPr>
      </w:pPr>
      <w:r>
        <w:rPr>
          <w:rFonts w:hint="eastAsia" w:ascii="楷体_GB2312" w:hAnsi="楷体" w:eastAsia="楷体_GB2312" w:cs="楷体"/>
          <w:color w:val="auto"/>
          <w:sz w:val="32"/>
          <w:szCs w:val="32"/>
          <w:highlight w:val="none"/>
        </w:rPr>
        <w:t>（二）</w:t>
      </w:r>
      <w:r>
        <w:rPr>
          <w:rFonts w:hint="eastAsia" w:ascii="楷体_GB2312" w:eastAsia="楷体_GB2312" w:cs="宋体"/>
          <w:color w:val="auto"/>
          <w:kern w:val="0"/>
          <w:sz w:val="32"/>
          <w:szCs w:val="32"/>
          <w:highlight w:val="none"/>
          <w:lang w:val="zh-CN"/>
        </w:rPr>
        <w:t>强化资金调度，全力以赴保“三保”。</w:t>
      </w:r>
      <w:r>
        <w:rPr>
          <w:rFonts w:hint="eastAsia" w:ascii="仿宋_GB2312" w:hAnsi="宋体" w:eastAsia="仿宋_GB2312" w:cs="宋体"/>
          <w:color w:val="auto"/>
          <w:kern w:val="0"/>
          <w:sz w:val="32"/>
          <w:szCs w:val="32"/>
          <w:highlight w:val="none"/>
          <w:lang w:val="zh-CN"/>
        </w:rPr>
        <w:t>切实提高政治站位，牢固树立底线思维，落实“三保”主体责任，将“三保”作为一项政治任务抓紧抓实，兜牢财政“三保”底线。</w:t>
      </w:r>
      <w:r>
        <w:rPr>
          <w:rFonts w:hint="eastAsia" w:ascii="仿宋_GB2312" w:hAnsi="微软雅黑" w:eastAsia="仿宋_GB2312" w:cs="宋体"/>
          <w:b/>
          <w:bCs/>
          <w:color w:val="auto"/>
          <w:kern w:val="0"/>
          <w:sz w:val="32"/>
          <w:szCs w:val="32"/>
          <w:highlight w:val="none"/>
        </w:rPr>
        <w:t>一是</w:t>
      </w:r>
      <w:r>
        <w:rPr>
          <w:rFonts w:hint="eastAsia" w:ascii="仿宋_GB2312" w:hAnsi="宋体" w:eastAsia="仿宋_GB2312" w:cs="宋体"/>
          <w:color w:val="auto"/>
          <w:kern w:val="0"/>
          <w:sz w:val="32"/>
          <w:szCs w:val="32"/>
          <w:highlight w:val="none"/>
          <w:lang w:val="zh-CN"/>
        </w:rPr>
        <w:t>牢固树立以人民为中心的发展思想，坚持尽力而为、量力而行，完善“基本民生”保障支出清单，坚持“基本民生”支出</w:t>
      </w:r>
      <w:r>
        <w:rPr>
          <w:rFonts w:hint="eastAsia" w:ascii="仿宋_GB2312" w:eastAsia="仿宋_GB2312"/>
          <w:color w:val="auto"/>
          <w:sz w:val="32"/>
          <w:szCs w:val="32"/>
          <w:highlight w:val="none"/>
        </w:rPr>
        <w:t>优先保障、优</w:t>
      </w:r>
      <w:r>
        <w:rPr>
          <w:rFonts w:hint="eastAsia" w:ascii="仿宋_GB2312" w:eastAsia="仿宋_GB2312"/>
          <w:color w:val="auto"/>
          <w:spacing w:val="-6"/>
          <w:sz w:val="32"/>
          <w:szCs w:val="32"/>
          <w:highlight w:val="none"/>
        </w:rPr>
        <w:t>先拨付，确保国家标准民生政策执行到位，</w:t>
      </w:r>
      <w:r>
        <w:rPr>
          <w:rFonts w:hint="eastAsia" w:ascii="仿宋_GB2312" w:hAnsi="ˎ̥" w:eastAsia="仿宋_GB2312"/>
          <w:color w:val="auto"/>
          <w:sz w:val="32"/>
          <w:szCs w:val="32"/>
          <w:highlight w:val="none"/>
        </w:rPr>
        <w:t>认真落实财政资金直达机制，提高资金执行效率，确保民生资金在最短时间内直达受益群众，</w:t>
      </w:r>
      <w:r>
        <w:rPr>
          <w:rFonts w:hint="eastAsia" w:ascii="仿宋_GB2312" w:eastAsia="仿宋_GB2312"/>
          <w:color w:val="auto"/>
          <w:spacing w:val="-6"/>
          <w:sz w:val="32"/>
          <w:szCs w:val="32"/>
          <w:highlight w:val="none"/>
        </w:rPr>
        <w:t>持续增进民生福祉。</w:t>
      </w:r>
      <w:r>
        <w:rPr>
          <w:rFonts w:hint="eastAsia" w:ascii="仿宋_GB2312" w:eastAsia="仿宋_GB2312"/>
          <w:b/>
          <w:bCs/>
          <w:color w:val="auto"/>
          <w:spacing w:val="-6"/>
          <w:sz w:val="32"/>
          <w:szCs w:val="32"/>
          <w:highlight w:val="none"/>
        </w:rPr>
        <w:t>二是</w:t>
      </w:r>
      <w:r>
        <w:rPr>
          <w:rFonts w:hint="eastAsia" w:ascii="仿宋_GB2312" w:hAnsi="宋体" w:eastAsia="仿宋_GB2312" w:cs="宋体"/>
          <w:color w:val="auto"/>
          <w:kern w:val="0"/>
          <w:sz w:val="32"/>
          <w:szCs w:val="32"/>
          <w:highlight w:val="none"/>
          <w:lang w:val="zh-CN"/>
        </w:rPr>
        <w:t>认真执行国家工资政策，强化库款运行监测，按时规范足额发放财政供养人员特别是义务教育教师工资，按照规定缴纳社会保险及住房公积金，切实保障财政供养人员切身利益。</w:t>
      </w:r>
      <w:r>
        <w:rPr>
          <w:rFonts w:hint="eastAsia" w:ascii="仿宋_GB2312" w:hAnsi="宋体" w:eastAsia="仿宋_GB2312" w:cs="宋体"/>
          <w:b/>
          <w:bCs/>
          <w:color w:val="auto"/>
          <w:kern w:val="0"/>
          <w:sz w:val="32"/>
          <w:szCs w:val="32"/>
          <w:highlight w:val="none"/>
          <w:lang w:val="zh-CN"/>
        </w:rPr>
        <w:t>三是</w:t>
      </w:r>
      <w:r>
        <w:rPr>
          <w:rFonts w:hint="eastAsia" w:ascii="仿宋_GB2312" w:hAnsi="宋体" w:eastAsia="仿宋_GB2312" w:cs="宋体"/>
          <w:color w:val="auto"/>
          <w:kern w:val="0"/>
          <w:sz w:val="32"/>
          <w:szCs w:val="32"/>
          <w:highlight w:val="none"/>
          <w:lang w:val="zh-CN"/>
        </w:rPr>
        <w:t>加强预算执行分析，序时拨付单位运转经费，确保机关事业单位正常运转。</w:t>
      </w:r>
    </w:p>
    <w:p>
      <w:pPr>
        <w:autoSpaceDE w:val="0"/>
        <w:autoSpaceDN w:val="0"/>
        <w:adjustRightInd w:val="0"/>
        <w:spacing w:line="540" w:lineRule="exact"/>
        <w:ind w:firstLine="640" w:firstLineChars="200"/>
        <w:jc w:val="left"/>
        <w:rPr>
          <w:rFonts w:ascii="仿宋_GB2312" w:eastAsia="仿宋_GB2312"/>
          <w:color w:val="auto"/>
          <w:sz w:val="32"/>
          <w:szCs w:val="32"/>
          <w:highlight w:val="none"/>
        </w:rPr>
      </w:pPr>
      <w:r>
        <w:rPr>
          <w:rFonts w:hint="eastAsia" w:ascii="楷体_GB2312" w:hAnsi="楷体" w:eastAsia="楷体_GB2312" w:cs="楷体"/>
          <w:color w:val="auto"/>
          <w:sz w:val="32"/>
          <w:szCs w:val="32"/>
          <w:highlight w:val="none"/>
        </w:rPr>
        <w:t>（三）</w:t>
      </w:r>
      <w:r>
        <w:rPr>
          <w:rFonts w:hint="eastAsia" w:ascii="楷体_GB2312" w:eastAsia="楷体_GB2312" w:cs="宋体"/>
          <w:color w:val="auto"/>
          <w:kern w:val="0"/>
          <w:sz w:val="32"/>
          <w:szCs w:val="32"/>
          <w:highlight w:val="none"/>
          <w:lang w:val="zh-CN"/>
        </w:rPr>
        <w:t>抢抓政策机遇，多措并举防风险。</w:t>
      </w:r>
      <w:r>
        <w:rPr>
          <w:rFonts w:hint="eastAsia" w:ascii="仿宋_GB2312" w:hAnsi="仿宋_GB2312" w:eastAsia="仿宋_GB2312" w:cs="仿宋_GB2312"/>
          <w:bCs/>
          <w:color w:val="auto"/>
          <w:sz w:val="32"/>
          <w:szCs w:val="32"/>
          <w:highlight w:val="none"/>
        </w:rPr>
        <w:t>严格落实地方政府债务管理相关规定和要求，强化风险意识，完善常态化监控机制，牢牢守住不冒泡、不爆雷的债务风险底线。</w:t>
      </w:r>
      <w:r>
        <w:rPr>
          <w:rFonts w:hint="eastAsia" w:ascii="仿宋_GB2312" w:hAnsi="仿宋_GB2312" w:eastAsia="仿宋_GB2312" w:cs="仿宋_GB2312"/>
          <w:b/>
          <w:color w:val="auto"/>
          <w:sz w:val="32"/>
          <w:szCs w:val="32"/>
          <w:highlight w:val="none"/>
        </w:rPr>
        <w:t>一是</w:t>
      </w:r>
      <w:r>
        <w:rPr>
          <w:rFonts w:hint="eastAsia" w:ascii="仿宋_GB2312" w:hAnsi="仿宋_GB2312" w:eastAsia="仿宋_GB2312" w:cs="仿宋_GB2312"/>
          <w:bCs/>
          <w:color w:val="auto"/>
          <w:sz w:val="32"/>
          <w:szCs w:val="32"/>
          <w:highlight w:val="none"/>
        </w:rPr>
        <w:t>抢抓新国发2号、盘活低效闲置资产、设备更新改造再贷款、高风险退红试点县等政策红利，积极向上对接，努力争取预算</w:t>
      </w:r>
      <w:r>
        <w:rPr>
          <w:rFonts w:hint="eastAsia" w:ascii="仿宋_GB2312" w:hAnsi="仿宋_GB2312" w:eastAsia="仿宋_GB2312" w:cs="仿宋_GB2312"/>
          <w:bCs/>
          <w:color w:val="auto"/>
          <w:sz w:val="32"/>
          <w:szCs w:val="32"/>
          <w:highlight w:val="none"/>
          <w:lang w:eastAsia="zh-CN"/>
        </w:rPr>
        <w:t>内</w:t>
      </w:r>
      <w:r>
        <w:rPr>
          <w:rFonts w:hint="eastAsia" w:ascii="仿宋_GB2312" w:hAnsi="仿宋_GB2312" w:eastAsia="仿宋_GB2312" w:cs="仿宋_GB2312"/>
          <w:bCs/>
          <w:color w:val="auto"/>
          <w:sz w:val="32"/>
          <w:szCs w:val="32"/>
          <w:highlight w:val="none"/>
        </w:rPr>
        <w:t>投资、新增地方政府专项债券、再融资债券等相关资金支持，促进县域经济发展，努力做到发展与化债协同推进。同时，将政府债券利息足额纳入财政预算，切实履行法定债务偿还责任。</w:t>
      </w:r>
      <w:r>
        <w:rPr>
          <w:rFonts w:hint="eastAsia" w:ascii="仿宋_GB2312" w:hAnsi="仿宋_GB2312" w:eastAsia="仿宋_GB2312" w:cs="仿宋_GB2312"/>
          <w:b/>
          <w:color w:val="auto"/>
          <w:sz w:val="32"/>
          <w:szCs w:val="32"/>
          <w:highlight w:val="none"/>
        </w:rPr>
        <w:t>二是</w:t>
      </w:r>
      <w:r>
        <w:rPr>
          <w:rFonts w:hint="eastAsia" w:ascii="仿宋_GB2312" w:hAnsi="仿宋_GB2312" w:eastAsia="仿宋_GB2312" w:cs="仿宋_GB2312"/>
          <w:bCs/>
          <w:color w:val="auto"/>
          <w:sz w:val="32"/>
          <w:szCs w:val="32"/>
          <w:highlight w:val="none"/>
        </w:rPr>
        <w:t>严格落实县</w:t>
      </w:r>
      <w:r>
        <w:rPr>
          <w:rFonts w:hint="eastAsia" w:ascii="仿宋_GB2312" w:hAnsi="仿宋_GB2312" w:eastAsia="仿宋_GB2312" w:cs="仿宋_GB2312"/>
          <w:bCs/>
          <w:color w:val="auto"/>
          <w:sz w:val="32"/>
          <w:szCs w:val="32"/>
          <w:highlight w:val="none"/>
          <w:lang w:eastAsia="zh-CN"/>
        </w:rPr>
        <w:t>管</w:t>
      </w:r>
      <w:r>
        <w:rPr>
          <w:rFonts w:hint="eastAsia" w:ascii="仿宋_GB2312" w:hAnsi="仿宋_GB2312" w:eastAsia="仿宋_GB2312" w:cs="仿宋_GB2312"/>
          <w:bCs/>
          <w:color w:val="auto"/>
          <w:sz w:val="32"/>
          <w:szCs w:val="32"/>
          <w:highlight w:val="none"/>
        </w:rPr>
        <w:t>国有企业偿债主体责任，加强企业自我造血功能，严格</w:t>
      </w:r>
      <w:r>
        <w:rPr>
          <w:rFonts w:hint="eastAsia" w:ascii="仿宋_GB2312" w:eastAsia="仿宋_GB2312"/>
          <w:color w:val="auto"/>
          <w:sz w:val="32"/>
          <w:szCs w:val="32"/>
          <w:highlight w:val="none"/>
        </w:rPr>
        <w:t>执行偿债准备报告机制，对偿还计划、偿债资金来源等进行动态管理，及时跟踪风险变化，统筹运用土地收入、盘活资源资产、协商展期、债务重组、联动化债等方式严密防范和应对债务风险。</w:t>
      </w:r>
      <w:r>
        <w:rPr>
          <w:rFonts w:hint="eastAsia" w:ascii="仿宋_GB2312" w:eastAsia="仿宋_GB2312"/>
          <w:b/>
          <w:bCs/>
          <w:color w:val="auto"/>
          <w:sz w:val="32"/>
          <w:szCs w:val="32"/>
          <w:highlight w:val="none"/>
        </w:rPr>
        <w:t>三是</w:t>
      </w:r>
      <w:r>
        <w:rPr>
          <w:rFonts w:hint="eastAsia" w:ascii="仿宋_GB2312" w:hAnsi="ˎ̥" w:eastAsia="仿宋_GB2312"/>
          <w:color w:val="auto"/>
          <w:sz w:val="32"/>
          <w:szCs w:val="32"/>
          <w:highlight w:val="none"/>
        </w:rPr>
        <w:t>严格执行《预算法》和国务院有关文件规定，认真贯彻落实中发</w:t>
      </w:r>
      <w:r>
        <w:rPr>
          <w:rFonts w:ascii="仿宋_GB2312" w:hAnsi="ˎ̥" w:eastAsia="仿宋_GB2312"/>
          <w:color w:val="auto"/>
          <w:sz w:val="32"/>
          <w:szCs w:val="32"/>
          <w:highlight w:val="none"/>
        </w:rPr>
        <w:t>27号、</w:t>
      </w:r>
      <w:r>
        <w:rPr>
          <w:rFonts w:hint="eastAsia" w:ascii="仿宋_GB2312" w:hAnsi="ˎ̥" w:eastAsia="仿宋_GB2312"/>
          <w:color w:val="auto"/>
          <w:spacing w:val="-4"/>
          <w:sz w:val="32"/>
          <w:szCs w:val="32"/>
          <w:highlight w:val="none"/>
        </w:rPr>
        <w:t>财预</w:t>
      </w:r>
      <w:r>
        <w:rPr>
          <w:rFonts w:ascii="仿宋_GB2312" w:hAnsi="ˎ̥" w:eastAsia="仿宋_GB2312"/>
          <w:color w:val="auto"/>
          <w:spacing w:val="-4"/>
          <w:sz w:val="32"/>
          <w:szCs w:val="32"/>
          <w:highlight w:val="none"/>
        </w:rPr>
        <w:t>50号、财预87号</w:t>
      </w:r>
      <w:r>
        <w:rPr>
          <w:rFonts w:hint="eastAsia" w:ascii="仿宋_GB2312" w:eastAsia="仿宋_GB2312"/>
          <w:color w:val="auto"/>
          <w:sz w:val="32"/>
          <w:szCs w:val="32"/>
          <w:highlight w:val="none"/>
        </w:rPr>
        <w:t>和政府性债务管理“七严禁”要求，规范政府债务管理，严禁违规举债。</w:t>
      </w:r>
    </w:p>
    <w:p>
      <w:pPr>
        <w:pStyle w:val="14"/>
        <w:widowControl w:val="0"/>
        <w:suppressAutoHyphens/>
        <w:spacing w:before="0" w:beforeAutospacing="0" w:after="0" w:afterAutospacing="0" w:line="540" w:lineRule="exact"/>
        <w:ind w:firstLine="640" w:firstLineChars="200"/>
        <w:rPr>
          <w:rFonts w:ascii="仿宋_GB2312" w:hAnsi="微软雅黑" w:eastAsia="仿宋_GB2312"/>
          <w:b/>
          <w:bCs/>
          <w:color w:val="auto"/>
          <w:sz w:val="32"/>
          <w:szCs w:val="32"/>
          <w:highlight w:val="none"/>
        </w:rPr>
      </w:pPr>
      <w:r>
        <w:rPr>
          <w:rFonts w:hint="eastAsia" w:ascii="楷体_GB2312" w:hAnsi="楷体" w:eastAsia="楷体_GB2312" w:cs="楷体"/>
          <w:color w:val="auto"/>
          <w:sz w:val="32"/>
          <w:szCs w:val="32"/>
          <w:highlight w:val="none"/>
        </w:rPr>
        <w:t>（四）</w:t>
      </w:r>
      <w:r>
        <w:rPr>
          <w:rFonts w:hint="eastAsia" w:ascii="楷体_GB2312" w:eastAsia="楷体_GB2312"/>
          <w:color w:val="auto"/>
          <w:sz w:val="32"/>
          <w:szCs w:val="32"/>
          <w:highlight w:val="none"/>
          <w:lang w:val="zh-CN"/>
        </w:rPr>
        <w:t>优化支出结构，争资争项促发展。</w:t>
      </w:r>
      <w:r>
        <w:rPr>
          <w:rFonts w:hint="eastAsia" w:ascii="仿宋_GB2312" w:hAnsi="ˎ̥" w:eastAsia="仿宋_GB2312"/>
          <w:color w:val="auto"/>
          <w:spacing w:val="-4"/>
          <w:sz w:val="32"/>
          <w:szCs w:val="32"/>
          <w:highlight w:val="none"/>
        </w:rPr>
        <w:t>紧紧围绕县委决策部署，强化资金资源统筹，</w:t>
      </w:r>
      <w:r>
        <w:rPr>
          <w:rFonts w:hint="eastAsia" w:ascii="仿宋_GB2312" w:hAnsi="微软雅黑" w:eastAsia="仿宋_GB2312"/>
          <w:color w:val="auto"/>
          <w:sz w:val="32"/>
          <w:szCs w:val="32"/>
          <w:highlight w:val="none"/>
        </w:rPr>
        <w:t>围绕“四新”主攻“四化”。</w:t>
      </w:r>
      <w:r>
        <w:rPr>
          <w:rFonts w:hint="eastAsia" w:ascii="仿宋_GB2312" w:hAnsi="微软雅黑" w:eastAsia="仿宋_GB2312"/>
          <w:b/>
          <w:bCs/>
          <w:color w:val="auto"/>
          <w:sz w:val="32"/>
          <w:szCs w:val="32"/>
          <w:highlight w:val="none"/>
        </w:rPr>
        <w:t>一是</w:t>
      </w:r>
      <w:r>
        <w:rPr>
          <w:rFonts w:hint="eastAsia" w:ascii="仿宋_GB2312" w:hAnsi="微软雅黑" w:eastAsia="仿宋_GB2312"/>
          <w:color w:val="auto"/>
          <w:sz w:val="32"/>
          <w:szCs w:val="32"/>
          <w:highlight w:val="none"/>
        </w:rPr>
        <w:t>全力优化财政支出结构，按照“能压则压、能减则减、能省则省”的原则，压减会议、差旅、培训、调研等一般性支出，按照“只减不增”原则严控“三公”经费支出，</w:t>
      </w:r>
      <w:r>
        <w:rPr>
          <w:rFonts w:hint="eastAsia" w:ascii="仿宋_GB2312" w:hAnsi="ˎ̥" w:eastAsia="仿宋_GB2312"/>
          <w:color w:val="auto"/>
          <w:sz w:val="32"/>
          <w:szCs w:val="32"/>
          <w:highlight w:val="none"/>
        </w:rPr>
        <w:t>加大存量资金清理盘活力度，集中财力</w:t>
      </w:r>
      <w:r>
        <w:rPr>
          <w:rFonts w:hint="eastAsia" w:ascii="仿宋_GB2312" w:hAnsi="微软雅黑" w:eastAsia="仿宋_GB2312"/>
          <w:color w:val="auto"/>
          <w:sz w:val="32"/>
          <w:szCs w:val="32"/>
          <w:highlight w:val="none"/>
        </w:rPr>
        <w:t>全力支持新型工业化、新型城镇化、农业现代化、旅游产业化等“四化”建设。</w:t>
      </w:r>
      <w:r>
        <w:rPr>
          <w:rFonts w:hint="eastAsia" w:ascii="仿宋_GB2312" w:hAnsi="微软雅黑" w:eastAsia="仿宋_GB2312"/>
          <w:b/>
          <w:bCs/>
          <w:color w:val="auto"/>
          <w:sz w:val="32"/>
          <w:szCs w:val="32"/>
          <w:highlight w:val="none"/>
        </w:rPr>
        <w:t>二是</w:t>
      </w:r>
      <w:r>
        <w:rPr>
          <w:rFonts w:hint="eastAsia" w:ascii="仿宋_GB2312" w:hAnsi="ˎ̥" w:eastAsia="仿宋_GB2312"/>
          <w:color w:val="auto"/>
          <w:spacing w:val="-4"/>
          <w:sz w:val="32"/>
          <w:szCs w:val="32"/>
          <w:highlight w:val="none"/>
        </w:rPr>
        <w:t>加大向上争取项目资金力度，围绕“四化”建设需求，积极对接上级政策，谋划储备项目，努力争取上级“四化”及生态环保建设基金、新增专项债券资金等资金支持。</w:t>
      </w:r>
      <w:r>
        <w:rPr>
          <w:rFonts w:hint="eastAsia" w:ascii="仿宋_GB2312" w:hAnsi="微软雅黑" w:eastAsia="仿宋_GB2312"/>
          <w:b/>
          <w:bCs/>
          <w:color w:val="auto"/>
          <w:sz w:val="32"/>
          <w:szCs w:val="32"/>
          <w:highlight w:val="none"/>
        </w:rPr>
        <w:t>三是</w:t>
      </w:r>
      <w:r>
        <w:rPr>
          <w:rFonts w:hint="eastAsia" w:ascii="仿宋_GB2312" w:hAnsi="ˎ̥" w:eastAsia="仿宋_GB2312"/>
          <w:color w:val="auto"/>
          <w:spacing w:val="-4"/>
          <w:sz w:val="32"/>
          <w:szCs w:val="32"/>
          <w:highlight w:val="none"/>
        </w:rPr>
        <w:t>创新财政投入方式，充分发挥财政资金引导作用，撬动社会资本积极参与我县“四化”建设。</w:t>
      </w:r>
    </w:p>
    <w:p>
      <w:pPr>
        <w:pStyle w:val="14"/>
        <w:widowControl w:val="0"/>
        <w:suppressAutoHyphens/>
        <w:spacing w:before="0" w:beforeAutospacing="0" w:after="0" w:afterAutospacing="0" w:line="540" w:lineRule="exact"/>
        <w:ind w:firstLine="640" w:firstLineChars="200"/>
        <w:rPr>
          <w:rFonts w:ascii="仿宋_GB2312" w:hAnsi="ˎ̥" w:eastAsia="仿宋_GB2312"/>
          <w:color w:val="auto"/>
          <w:spacing w:val="-4"/>
          <w:sz w:val="32"/>
          <w:szCs w:val="32"/>
          <w:highlight w:val="none"/>
        </w:rPr>
      </w:pPr>
      <w:r>
        <w:rPr>
          <w:rFonts w:hint="eastAsia" w:ascii="楷体_GB2312" w:hAnsi="楷体" w:eastAsia="楷体_GB2312" w:cs="楷体"/>
          <w:color w:val="auto"/>
          <w:sz w:val="32"/>
          <w:szCs w:val="32"/>
          <w:highlight w:val="none"/>
        </w:rPr>
        <w:t>（五）</w:t>
      </w:r>
      <w:r>
        <w:rPr>
          <w:rFonts w:hint="eastAsia" w:ascii="楷体_GB2312" w:eastAsia="楷体_GB2312"/>
          <w:color w:val="auto"/>
          <w:sz w:val="32"/>
          <w:szCs w:val="32"/>
          <w:highlight w:val="none"/>
          <w:lang w:val="zh-CN"/>
        </w:rPr>
        <w:t>持续深化改革，精准施策严监管。</w:t>
      </w:r>
      <w:r>
        <w:rPr>
          <w:rFonts w:hint="eastAsia" w:ascii="仿宋_GB2312" w:hAnsi="ˎ̥" w:eastAsia="仿宋_GB2312"/>
          <w:color w:val="auto"/>
          <w:spacing w:val="-4"/>
          <w:sz w:val="32"/>
          <w:szCs w:val="32"/>
          <w:highlight w:val="none"/>
        </w:rPr>
        <w:t>坚持以问题为导向，不断完善制度机制，严肃财经纪律，加强财政监管，防范财政资金安全风险。</w:t>
      </w:r>
      <w:r>
        <w:rPr>
          <w:rFonts w:hint="eastAsia" w:ascii="仿宋_GB2312" w:hAnsi="ˎ̥" w:eastAsia="仿宋_GB2312"/>
          <w:b/>
          <w:bCs/>
          <w:color w:val="auto"/>
          <w:spacing w:val="-4"/>
          <w:sz w:val="32"/>
          <w:szCs w:val="32"/>
          <w:highlight w:val="none"/>
        </w:rPr>
        <w:t>一是</w:t>
      </w:r>
      <w:r>
        <w:rPr>
          <w:rFonts w:hint="eastAsia" w:ascii="仿宋_GB2312" w:hAnsi="ˎ̥" w:eastAsia="仿宋_GB2312"/>
          <w:color w:val="auto"/>
          <w:spacing w:val="-4"/>
          <w:sz w:val="32"/>
          <w:szCs w:val="32"/>
          <w:highlight w:val="none"/>
        </w:rPr>
        <w:t>持续推进预算管理机制改革，实施全口径预算管理改革，将同一单位不同渠道资金完整纳入预算编制，避免预算安排重复交叉，充分释放单位资金潜力。按照全方位、全过程、全覆盖预算绩效管理要求，进一步完善预算绩效管理链条，有序开展单位整体绩效评价，有效推动单位绩效自评质量，做实重点绩效评价结果运用，提升财政资金使用效益。</w:t>
      </w:r>
      <w:r>
        <w:rPr>
          <w:rFonts w:hint="eastAsia" w:ascii="仿宋_GB2312" w:hAnsi="ˎ̥" w:eastAsia="仿宋_GB2312"/>
          <w:b/>
          <w:bCs/>
          <w:color w:val="auto"/>
          <w:spacing w:val="-4"/>
          <w:sz w:val="32"/>
          <w:szCs w:val="32"/>
          <w:highlight w:val="none"/>
        </w:rPr>
        <w:t>二是</w:t>
      </w:r>
      <w:r>
        <w:rPr>
          <w:rFonts w:hint="eastAsia" w:ascii="仿宋_GB2312" w:hAnsi="ˎ̥" w:eastAsia="仿宋_GB2312"/>
          <w:color w:val="auto"/>
          <w:spacing w:val="-4"/>
          <w:sz w:val="32"/>
          <w:szCs w:val="32"/>
          <w:highlight w:val="none"/>
        </w:rPr>
        <w:t>持续强化国库集中支付制度，充分依托预算管理一体化</w:t>
      </w:r>
      <w:r>
        <w:rPr>
          <w:rFonts w:hint="eastAsia" w:ascii="仿宋_GB2312" w:hAnsi="ˎ̥" w:eastAsia="仿宋_GB2312"/>
          <w:color w:val="auto"/>
          <w:spacing w:val="-4"/>
          <w:sz w:val="32"/>
          <w:szCs w:val="32"/>
          <w:highlight w:val="none"/>
          <w:lang w:eastAsia="zh-CN"/>
        </w:rPr>
        <w:t>系统</w:t>
      </w:r>
      <w:r>
        <w:rPr>
          <w:rFonts w:hint="eastAsia" w:ascii="仿宋_GB2312" w:hAnsi="ˎ̥" w:eastAsia="仿宋_GB2312"/>
          <w:color w:val="auto"/>
          <w:spacing w:val="-4"/>
          <w:sz w:val="32"/>
          <w:szCs w:val="32"/>
          <w:highlight w:val="none"/>
        </w:rPr>
        <w:t>，进一步完善资金支付监控预警规则，切实防止违规向单位实有资金账户拨款，有效拦截单位违规支付财政资金，保障财政资金安全运行。</w:t>
      </w:r>
      <w:r>
        <w:rPr>
          <w:rFonts w:hint="eastAsia" w:ascii="仿宋_GB2312" w:hAnsi="ˎ̥" w:eastAsia="仿宋_GB2312"/>
          <w:b/>
          <w:bCs/>
          <w:color w:val="auto"/>
          <w:spacing w:val="-4"/>
          <w:sz w:val="32"/>
          <w:szCs w:val="32"/>
          <w:highlight w:val="none"/>
        </w:rPr>
        <w:t>三是</w:t>
      </w:r>
      <w:r>
        <w:rPr>
          <w:rFonts w:hint="eastAsia" w:ascii="仿宋_GB2312" w:hAnsi="ˎ̥" w:eastAsia="仿宋_GB2312"/>
          <w:color w:val="auto"/>
          <w:spacing w:val="-4"/>
          <w:sz w:val="32"/>
          <w:szCs w:val="32"/>
          <w:highlight w:val="none"/>
        </w:rPr>
        <w:t>持续开展财政业务监督检查，认真制定涉及单位内控管理、资金管理、资产管理、债权债务管理等方面的检查工作方案，全覆盖开展财政业务监督检查，及时发现问题、整改问题，督促单位规范财务行为。</w:t>
      </w:r>
    </w:p>
    <w:p>
      <w:pPr>
        <w:pStyle w:val="14"/>
        <w:widowControl w:val="0"/>
        <w:suppressAutoHyphens/>
        <w:spacing w:before="0" w:beforeAutospacing="0" w:after="0" w:afterAutospacing="0" w:line="540" w:lineRule="exact"/>
        <w:ind w:firstLine="643" w:firstLineChars="200"/>
        <w:rPr>
          <w:rFonts w:ascii="仿宋_GB2312" w:eastAsia="仿宋_GB2312"/>
          <w:color w:val="auto"/>
          <w:spacing w:val="-4"/>
          <w:sz w:val="32"/>
          <w:szCs w:val="32"/>
          <w:highlight w:val="none"/>
        </w:rPr>
      </w:pPr>
      <w:r>
        <w:rPr>
          <w:rFonts w:hint="eastAsia" w:ascii="仿宋" w:hAnsi="仿宋" w:eastAsia="仿宋" w:cs="仿宋"/>
          <w:b/>
          <w:bCs/>
          <w:color w:val="auto"/>
          <w:sz w:val="32"/>
          <w:szCs w:val="32"/>
          <w:highlight w:val="none"/>
        </w:rPr>
        <w:t>各位代表</w:t>
      </w:r>
      <w:r>
        <w:rPr>
          <w:rFonts w:hint="eastAsia" w:ascii="仿宋" w:hAnsi="仿宋" w:eastAsia="仿宋" w:cs="仿宋"/>
          <w:b/>
          <w:color w:val="auto"/>
          <w:sz w:val="32"/>
          <w:szCs w:val="32"/>
          <w:highlight w:val="none"/>
        </w:rPr>
        <w:t>，</w:t>
      </w:r>
      <w:r>
        <w:rPr>
          <w:rFonts w:hint="eastAsia" w:ascii="仿宋_GB2312" w:eastAsia="仿宋_GB2312"/>
          <w:color w:val="auto"/>
          <w:sz w:val="32"/>
          <w:szCs w:val="32"/>
          <w:highlight w:val="none"/>
        </w:rPr>
        <w:t>2023年财政“三保”保障、风险防范化解等任务更加艰巨，财政运行压力</w:t>
      </w:r>
      <w:r>
        <w:rPr>
          <w:rFonts w:hint="eastAsia" w:ascii="仿宋_GB2312" w:eastAsia="仿宋_GB2312"/>
          <w:color w:val="auto"/>
          <w:sz w:val="32"/>
          <w:szCs w:val="32"/>
          <w:highlight w:val="none"/>
          <w:lang w:eastAsia="zh-CN"/>
        </w:rPr>
        <w:t>持续加大</w:t>
      </w:r>
      <w:r>
        <w:rPr>
          <w:rFonts w:hint="eastAsia" w:ascii="仿宋_GB2312" w:eastAsia="仿宋_GB2312"/>
          <w:color w:val="auto"/>
          <w:sz w:val="32"/>
          <w:szCs w:val="32"/>
          <w:highlight w:val="none"/>
        </w:rPr>
        <w:t>，财政收支形势不容乐观。我们将以习近平新时代中国特色社会主义思想为指导，深入学习贯彻党的二十大精神和习近平总书记视察贵州、视察遵义重要讲话精神，在县委的正确领导下，在县</w:t>
      </w:r>
      <w:r>
        <w:rPr>
          <w:rFonts w:hint="eastAsia" w:ascii="仿宋_GB2312" w:eastAsia="仿宋_GB2312"/>
          <w:color w:val="auto"/>
          <w:spacing w:val="-4"/>
          <w:sz w:val="32"/>
          <w:szCs w:val="32"/>
          <w:highlight w:val="none"/>
        </w:rPr>
        <w:t>人大和</w:t>
      </w:r>
      <w:r>
        <w:rPr>
          <w:rFonts w:hint="eastAsia" w:ascii="仿宋_GB2312" w:eastAsia="仿宋_GB2312"/>
          <w:color w:val="auto"/>
          <w:spacing w:val="-4"/>
          <w:sz w:val="32"/>
          <w:szCs w:val="32"/>
          <w:highlight w:val="none"/>
          <w:lang w:eastAsia="zh-CN"/>
        </w:rPr>
        <w:t>县</w:t>
      </w:r>
      <w:r>
        <w:rPr>
          <w:rFonts w:hint="eastAsia" w:ascii="仿宋_GB2312" w:eastAsia="仿宋_GB2312"/>
          <w:color w:val="auto"/>
          <w:spacing w:val="-4"/>
          <w:sz w:val="32"/>
          <w:szCs w:val="32"/>
          <w:highlight w:val="none"/>
        </w:rPr>
        <w:t>政协的监督支持下，坚定信心，迎难而上，奋力完成全年财政工作目标任务，为全县经济社会健康发展提供有力保障。</w:t>
      </w:r>
    </w:p>
    <w:p>
      <w:pPr>
        <w:pStyle w:val="14"/>
        <w:widowControl w:val="0"/>
        <w:suppressAutoHyphens/>
        <w:spacing w:before="0" w:beforeAutospacing="0" w:after="0" w:afterAutospacing="0" w:line="540" w:lineRule="exact"/>
        <w:ind w:firstLine="667" w:firstLineChars="200"/>
        <w:rPr>
          <w:rFonts w:ascii="仿宋_GB2312" w:hAnsi="ˎ̥" w:eastAsia="仿宋_GB2312"/>
          <w:b/>
          <w:bCs/>
          <w:color w:val="auto"/>
          <w:spacing w:val="-4"/>
          <w:sz w:val="34"/>
          <w:szCs w:val="34"/>
          <w:highlight w:val="none"/>
        </w:rPr>
      </w:pPr>
    </w:p>
    <w:sectPr>
      <w:footerReference r:id="rId3" w:type="default"/>
      <w:footerReference r:id="rId4" w:type="even"/>
      <w:pgSz w:w="11906" w:h="16838"/>
      <w:pgMar w:top="2098" w:right="1531" w:bottom="1814" w:left="1531" w:header="851" w:footer="113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fldChar w:fldCharType="begin"/>
    </w:r>
    <w:r>
      <w:rPr>
        <w:rStyle w:val="10"/>
      </w:rPr>
      <w:instrText xml:space="preserve">PAGE  </w:instrText>
    </w:r>
    <w: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YxNjY1NGNkOTUwNjA3MmMwM2I5Nzg1ZDZmYzIxZGMifQ=="/>
  </w:docVars>
  <w:rsids>
    <w:rsidRoot w:val="00C47F65"/>
    <w:rsid w:val="00001A77"/>
    <w:rsid w:val="00001F5D"/>
    <w:rsid w:val="00003E61"/>
    <w:rsid w:val="00005EF8"/>
    <w:rsid w:val="0000749C"/>
    <w:rsid w:val="000107E5"/>
    <w:rsid w:val="00010BCB"/>
    <w:rsid w:val="00012B26"/>
    <w:rsid w:val="00013572"/>
    <w:rsid w:val="00020D16"/>
    <w:rsid w:val="00023AB5"/>
    <w:rsid w:val="0002580B"/>
    <w:rsid w:val="00026864"/>
    <w:rsid w:val="00026EA5"/>
    <w:rsid w:val="00031CB6"/>
    <w:rsid w:val="00032D6B"/>
    <w:rsid w:val="00033536"/>
    <w:rsid w:val="000341B6"/>
    <w:rsid w:val="00037064"/>
    <w:rsid w:val="00037A26"/>
    <w:rsid w:val="00041E6C"/>
    <w:rsid w:val="00042DC6"/>
    <w:rsid w:val="00045795"/>
    <w:rsid w:val="00045B7D"/>
    <w:rsid w:val="00046528"/>
    <w:rsid w:val="000502F9"/>
    <w:rsid w:val="000508B9"/>
    <w:rsid w:val="00051A2E"/>
    <w:rsid w:val="00052783"/>
    <w:rsid w:val="00054E21"/>
    <w:rsid w:val="00055691"/>
    <w:rsid w:val="00055B71"/>
    <w:rsid w:val="00057B80"/>
    <w:rsid w:val="00063C65"/>
    <w:rsid w:val="00064E6B"/>
    <w:rsid w:val="000656E5"/>
    <w:rsid w:val="0006599A"/>
    <w:rsid w:val="00071041"/>
    <w:rsid w:val="000711E3"/>
    <w:rsid w:val="000715C5"/>
    <w:rsid w:val="00071FBD"/>
    <w:rsid w:val="000721F5"/>
    <w:rsid w:val="00075B52"/>
    <w:rsid w:val="0007635C"/>
    <w:rsid w:val="00076BE3"/>
    <w:rsid w:val="000778FF"/>
    <w:rsid w:val="00077A57"/>
    <w:rsid w:val="00080BE4"/>
    <w:rsid w:val="00080F14"/>
    <w:rsid w:val="00086FA7"/>
    <w:rsid w:val="0008724D"/>
    <w:rsid w:val="00090625"/>
    <w:rsid w:val="00090650"/>
    <w:rsid w:val="00090BC2"/>
    <w:rsid w:val="000912BA"/>
    <w:rsid w:val="0009369C"/>
    <w:rsid w:val="00093906"/>
    <w:rsid w:val="00094311"/>
    <w:rsid w:val="00094E5B"/>
    <w:rsid w:val="00097155"/>
    <w:rsid w:val="00097341"/>
    <w:rsid w:val="0009773B"/>
    <w:rsid w:val="00097B7E"/>
    <w:rsid w:val="000A10E4"/>
    <w:rsid w:val="000A1B5E"/>
    <w:rsid w:val="000A2A21"/>
    <w:rsid w:val="000A502D"/>
    <w:rsid w:val="000A52C9"/>
    <w:rsid w:val="000A570E"/>
    <w:rsid w:val="000A5C71"/>
    <w:rsid w:val="000A62D4"/>
    <w:rsid w:val="000A7CFA"/>
    <w:rsid w:val="000B02AB"/>
    <w:rsid w:val="000B0EFC"/>
    <w:rsid w:val="000B2940"/>
    <w:rsid w:val="000B30FB"/>
    <w:rsid w:val="000B314C"/>
    <w:rsid w:val="000B518C"/>
    <w:rsid w:val="000B5954"/>
    <w:rsid w:val="000B7BF2"/>
    <w:rsid w:val="000C0E72"/>
    <w:rsid w:val="000C1BB1"/>
    <w:rsid w:val="000C1FFB"/>
    <w:rsid w:val="000C30AF"/>
    <w:rsid w:val="000C426E"/>
    <w:rsid w:val="000C439B"/>
    <w:rsid w:val="000C47FC"/>
    <w:rsid w:val="000C5D69"/>
    <w:rsid w:val="000C600D"/>
    <w:rsid w:val="000D07BC"/>
    <w:rsid w:val="000D10EB"/>
    <w:rsid w:val="000D25D8"/>
    <w:rsid w:val="000D2928"/>
    <w:rsid w:val="000D33A7"/>
    <w:rsid w:val="000D5BAD"/>
    <w:rsid w:val="000D78A6"/>
    <w:rsid w:val="000E190E"/>
    <w:rsid w:val="000E258C"/>
    <w:rsid w:val="000E2DBF"/>
    <w:rsid w:val="000E382C"/>
    <w:rsid w:val="000E390B"/>
    <w:rsid w:val="000E5D10"/>
    <w:rsid w:val="000E5D77"/>
    <w:rsid w:val="000E6FAC"/>
    <w:rsid w:val="000E7785"/>
    <w:rsid w:val="000E7799"/>
    <w:rsid w:val="000E7FA0"/>
    <w:rsid w:val="000F24B4"/>
    <w:rsid w:val="000F3691"/>
    <w:rsid w:val="000F40CF"/>
    <w:rsid w:val="000F464A"/>
    <w:rsid w:val="000F5577"/>
    <w:rsid w:val="000F7050"/>
    <w:rsid w:val="00102DC4"/>
    <w:rsid w:val="001037BC"/>
    <w:rsid w:val="00103815"/>
    <w:rsid w:val="00104401"/>
    <w:rsid w:val="00104E1D"/>
    <w:rsid w:val="0010513A"/>
    <w:rsid w:val="001114C4"/>
    <w:rsid w:val="00113B16"/>
    <w:rsid w:val="00115093"/>
    <w:rsid w:val="00115B47"/>
    <w:rsid w:val="0011691D"/>
    <w:rsid w:val="00116ABD"/>
    <w:rsid w:val="00117FFC"/>
    <w:rsid w:val="00120384"/>
    <w:rsid w:val="00122128"/>
    <w:rsid w:val="00122F36"/>
    <w:rsid w:val="001234E7"/>
    <w:rsid w:val="00124440"/>
    <w:rsid w:val="00124D58"/>
    <w:rsid w:val="00125B99"/>
    <w:rsid w:val="00126500"/>
    <w:rsid w:val="0012761A"/>
    <w:rsid w:val="00127EE0"/>
    <w:rsid w:val="00127F82"/>
    <w:rsid w:val="00130C4B"/>
    <w:rsid w:val="001336F2"/>
    <w:rsid w:val="00133A1E"/>
    <w:rsid w:val="001403E8"/>
    <w:rsid w:val="001405CF"/>
    <w:rsid w:val="00143B80"/>
    <w:rsid w:val="00145133"/>
    <w:rsid w:val="00147B3D"/>
    <w:rsid w:val="001500B0"/>
    <w:rsid w:val="00150C8B"/>
    <w:rsid w:val="00151EA6"/>
    <w:rsid w:val="001530E1"/>
    <w:rsid w:val="00153417"/>
    <w:rsid w:val="00154A9C"/>
    <w:rsid w:val="001555AE"/>
    <w:rsid w:val="001569DD"/>
    <w:rsid w:val="00156AFE"/>
    <w:rsid w:val="00157208"/>
    <w:rsid w:val="0016117F"/>
    <w:rsid w:val="001615AC"/>
    <w:rsid w:val="0016289D"/>
    <w:rsid w:val="001633EF"/>
    <w:rsid w:val="0016343F"/>
    <w:rsid w:val="00163823"/>
    <w:rsid w:val="001658EE"/>
    <w:rsid w:val="00167A3C"/>
    <w:rsid w:val="00171BE2"/>
    <w:rsid w:val="00171CDC"/>
    <w:rsid w:val="00171E98"/>
    <w:rsid w:val="00172145"/>
    <w:rsid w:val="0017342D"/>
    <w:rsid w:val="00173662"/>
    <w:rsid w:val="00175A85"/>
    <w:rsid w:val="00177B29"/>
    <w:rsid w:val="0018017C"/>
    <w:rsid w:val="0018121D"/>
    <w:rsid w:val="001833C9"/>
    <w:rsid w:val="001834A9"/>
    <w:rsid w:val="00183AA0"/>
    <w:rsid w:val="001847FC"/>
    <w:rsid w:val="0018512D"/>
    <w:rsid w:val="00185C1D"/>
    <w:rsid w:val="001900A1"/>
    <w:rsid w:val="00190F8F"/>
    <w:rsid w:val="00191571"/>
    <w:rsid w:val="00193077"/>
    <w:rsid w:val="00194D4C"/>
    <w:rsid w:val="00195396"/>
    <w:rsid w:val="001970A0"/>
    <w:rsid w:val="001A22DB"/>
    <w:rsid w:val="001A26EF"/>
    <w:rsid w:val="001A4734"/>
    <w:rsid w:val="001B0E84"/>
    <w:rsid w:val="001B2462"/>
    <w:rsid w:val="001B3622"/>
    <w:rsid w:val="001B3FB8"/>
    <w:rsid w:val="001B4D4A"/>
    <w:rsid w:val="001B579C"/>
    <w:rsid w:val="001B6D03"/>
    <w:rsid w:val="001B6F0C"/>
    <w:rsid w:val="001B7BC6"/>
    <w:rsid w:val="001B7C70"/>
    <w:rsid w:val="001C0021"/>
    <w:rsid w:val="001C0A4B"/>
    <w:rsid w:val="001C2D43"/>
    <w:rsid w:val="001C2F78"/>
    <w:rsid w:val="001C3B69"/>
    <w:rsid w:val="001C5BB9"/>
    <w:rsid w:val="001C5C5B"/>
    <w:rsid w:val="001C5DF0"/>
    <w:rsid w:val="001C6D95"/>
    <w:rsid w:val="001C7B81"/>
    <w:rsid w:val="001D5413"/>
    <w:rsid w:val="001D5992"/>
    <w:rsid w:val="001D6506"/>
    <w:rsid w:val="001D68BB"/>
    <w:rsid w:val="001D7262"/>
    <w:rsid w:val="001D7EA9"/>
    <w:rsid w:val="001D7EAB"/>
    <w:rsid w:val="001E0216"/>
    <w:rsid w:val="001E0437"/>
    <w:rsid w:val="001E05C7"/>
    <w:rsid w:val="001E10AD"/>
    <w:rsid w:val="001E258D"/>
    <w:rsid w:val="001E2B6F"/>
    <w:rsid w:val="001E4276"/>
    <w:rsid w:val="001E6149"/>
    <w:rsid w:val="001E62AE"/>
    <w:rsid w:val="001E64A1"/>
    <w:rsid w:val="001E7A4D"/>
    <w:rsid w:val="001E7F86"/>
    <w:rsid w:val="001E7F9B"/>
    <w:rsid w:val="001F083B"/>
    <w:rsid w:val="001F1102"/>
    <w:rsid w:val="001F2979"/>
    <w:rsid w:val="001F3196"/>
    <w:rsid w:val="001F7EB3"/>
    <w:rsid w:val="00202B2E"/>
    <w:rsid w:val="0020764D"/>
    <w:rsid w:val="00207B01"/>
    <w:rsid w:val="00207E8F"/>
    <w:rsid w:val="00210BC3"/>
    <w:rsid w:val="00210FB3"/>
    <w:rsid w:val="00211708"/>
    <w:rsid w:val="00211CA5"/>
    <w:rsid w:val="00212624"/>
    <w:rsid w:val="00212ED2"/>
    <w:rsid w:val="00212F64"/>
    <w:rsid w:val="00213791"/>
    <w:rsid w:val="00216D09"/>
    <w:rsid w:val="00223B66"/>
    <w:rsid w:val="00234FF1"/>
    <w:rsid w:val="00235677"/>
    <w:rsid w:val="00235F38"/>
    <w:rsid w:val="0023697B"/>
    <w:rsid w:val="0024019B"/>
    <w:rsid w:val="002441A9"/>
    <w:rsid w:val="0024740B"/>
    <w:rsid w:val="00247A96"/>
    <w:rsid w:val="0025086E"/>
    <w:rsid w:val="00251631"/>
    <w:rsid w:val="002518D7"/>
    <w:rsid w:val="00251929"/>
    <w:rsid w:val="00251E18"/>
    <w:rsid w:val="00252CCD"/>
    <w:rsid w:val="00253A98"/>
    <w:rsid w:val="00255292"/>
    <w:rsid w:val="00255611"/>
    <w:rsid w:val="00255B3E"/>
    <w:rsid w:val="00255B4C"/>
    <w:rsid w:val="00263B1F"/>
    <w:rsid w:val="002649E7"/>
    <w:rsid w:val="00264A45"/>
    <w:rsid w:val="00264E0A"/>
    <w:rsid w:val="00266366"/>
    <w:rsid w:val="002665E0"/>
    <w:rsid w:val="0026738D"/>
    <w:rsid w:val="00267B41"/>
    <w:rsid w:val="002700DD"/>
    <w:rsid w:val="0027120B"/>
    <w:rsid w:val="00274025"/>
    <w:rsid w:val="002744D0"/>
    <w:rsid w:val="00275550"/>
    <w:rsid w:val="00276177"/>
    <w:rsid w:val="00280E03"/>
    <w:rsid w:val="00282EA9"/>
    <w:rsid w:val="00283EB3"/>
    <w:rsid w:val="00285564"/>
    <w:rsid w:val="0028567D"/>
    <w:rsid w:val="00286A51"/>
    <w:rsid w:val="00286E80"/>
    <w:rsid w:val="002876FE"/>
    <w:rsid w:val="00290E36"/>
    <w:rsid w:val="002933A6"/>
    <w:rsid w:val="002951C9"/>
    <w:rsid w:val="00295249"/>
    <w:rsid w:val="00296501"/>
    <w:rsid w:val="00296EBE"/>
    <w:rsid w:val="00297D38"/>
    <w:rsid w:val="00297EB5"/>
    <w:rsid w:val="002A0E2F"/>
    <w:rsid w:val="002A1A93"/>
    <w:rsid w:val="002A1FA4"/>
    <w:rsid w:val="002A46B0"/>
    <w:rsid w:val="002A56FD"/>
    <w:rsid w:val="002A5905"/>
    <w:rsid w:val="002A59BD"/>
    <w:rsid w:val="002A5BD7"/>
    <w:rsid w:val="002B0D0F"/>
    <w:rsid w:val="002B1698"/>
    <w:rsid w:val="002B1A72"/>
    <w:rsid w:val="002B44E1"/>
    <w:rsid w:val="002B5836"/>
    <w:rsid w:val="002B5EBF"/>
    <w:rsid w:val="002B621E"/>
    <w:rsid w:val="002C0013"/>
    <w:rsid w:val="002C0BB4"/>
    <w:rsid w:val="002C1066"/>
    <w:rsid w:val="002C3795"/>
    <w:rsid w:val="002C5434"/>
    <w:rsid w:val="002C64A6"/>
    <w:rsid w:val="002C78E5"/>
    <w:rsid w:val="002D19EE"/>
    <w:rsid w:val="002D1A3F"/>
    <w:rsid w:val="002D3552"/>
    <w:rsid w:val="002D37A6"/>
    <w:rsid w:val="002D383E"/>
    <w:rsid w:val="002D423A"/>
    <w:rsid w:val="002D66AB"/>
    <w:rsid w:val="002D7F90"/>
    <w:rsid w:val="002E1038"/>
    <w:rsid w:val="002E1D5C"/>
    <w:rsid w:val="002E4E13"/>
    <w:rsid w:val="002E6127"/>
    <w:rsid w:val="002E64F6"/>
    <w:rsid w:val="002E65AE"/>
    <w:rsid w:val="002E69F4"/>
    <w:rsid w:val="002F3858"/>
    <w:rsid w:val="002F658A"/>
    <w:rsid w:val="002F792C"/>
    <w:rsid w:val="00300338"/>
    <w:rsid w:val="0030056B"/>
    <w:rsid w:val="0030062E"/>
    <w:rsid w:val="00300B56"/>
    <w:rsid w:val="00300E5D"/>
    <w:rsid w:val="003010EF"/>
    <w:rsid w:val="00303953"/>
    <w:rsid w:val="0030483B"/>
    <w:rsid w:val="00305028"/>
    <w:rsid w:val="003055E9"/>
    <w:rsid w:val="003057B3"/>
    <w:rsid w:val="00305E8C"/>
    <w:rsid w:val="00307086"/>
    <w:rsid w:val="00307BFE"/>
    <w:rsid w:val="003126ED"/>
    <w:rsid w:val="00312DD7"/>
    <w:rsid w:val="00313906"/>
    <w:rsid w:val="0031478B"/>
    <w:rsid w:val="00320F7E"/>
    <w:rsid w:val="0032162E"/>
    <w:rsid w:val="0032238C"/>
    <w:rsid w:val="00322FA0"/>
    <w:rsid w:val="00323EBA"/>
    <w:rsid w:val="00324C85"/>
    <w:rsid w:val="00326619"/>
    <w:rsid w:val="0033017B"/>
    <w:rsid w:val="003308DF"/>
    <w:rsid w:val="00331309"/>
    <w:rsid w:val="003315A6"/>
    <w:rsid w:val="0033238B"/>
    <w:rsid w:val="003328D3"/>
    <w:rsid w:val="00333357"/>
    <w:rsid w:val="00333ED5"/>
    <w:rsid w:val="00336984"/>
    <w:rsid w:val="0033746A"/>
    <w:rsid w:val="00341090"/>
    <w:rsid w:val="003410C9"/>
    <w:rsid w:val="00342EF3"/>
    <w:rsid w:val="00344014"/>
    <w:rsid w:val="00344936"/>
    <w:rsid w:val="003449A1"/>
    <w:rsid w:val="00344B51"/>
    <w:rsid w:val="00345BE4"/>
    <w:rsid w:val="00346393"/>
    <w:rsid w:val="00346640"/>
    <w:rsid w:val="003516CC"/>
    <w:rsid w:val="003518A8"/>
    <w:rsid w:val="0035449A"/>
    <w:rsid w:val="0035621F"/>
    <w:rsid w:val="00356B18"/>
    <w:rsid w:val="00357044"/>
    <w:rsid w:val="00357840"/>
    <w:rsid w:val="00360CE7"/>
    <w:rsid w:val="00361175"/>
    <w:rsid w:val="00363298"/>
    <w:rsid w:val="003635FC"/>
    <w:rsid w:val="00363E18"/>
    <w:rsid w:val="003652AE"/>
    <w:rsid w:val="003656D9"/>
    <w:rsid w:val="003673B2"/>
    <w:rsid w:val="00367FC4"/>
    <w:rsid w:val="003703AE"/>
    <w:rsid w:val="0037185F"/>
    <w:rsid w:val="0037355B"/>
    <w:rsid w:val="0037436E"/>
    <w:rsid w:val="00376BA3"/>
    <w:rsid w:val="00382641"/>
    <w:rsid w:val="00382892"/>
    <w:rsid w:val="003829AC"/>
    <w:rsid w:val="003830B0"/>
    <w:rsid w:val="00385FE9"/>
    <w:rsid w:val="003864C0"/>
    <w:rsid w:val="00386F18"/>
    <w:rsid w:val="00390980"/>
    <w:rsid w:val="00395F7C"/>
    <w:rsid w:val="00397B8C"/>
    <w:rsid w:val="003A24F4"/>
    <w:rsid w:val="003A3F86"/>
    <w:rsid w:val="003A4CDD"/>
    <w:rsid w:val="003A74A0"/>
    <w:rsid w:val="003B11E5"/>
    <w:rsid w:val="003B23AC"/>
    <w:rsid w:val="003B43FD"/>
    <w:rsid w:val="003B4CB0"/>
    <w:rsid w:val="003C012A"/>
    <w:rsid w:val="003C10F6"/>
    <w:rsid w:val="003C13B6"/>
    <w:rsid w:val="003C27B4"/>
    <w:rsid w:val="003C3193"/>
    <w:rsid w:val="003C3BBE"/>
    <w:rsid w:val="003C44AF"/>
    <w:rsid w:val="003C6642"/>
    <w:rsid w:val="003C68EC"/>
    <w:rsid w:val="003C6D5B"/>
    <w:rsid w:val="003D2979"/>
    <w:rsid w:val="003D2BB4"/>
    <w:rsid w:val="003D5655"/>
    <w:rsid w:val="003D6A1A"/>
    <w:rsid w:val="003E091B"/>
    <w:rsid w:val="003E0BB6"/>
    <w:rsid w:val="003E157E"/>
    <w:rsid w:val="003E1ED3"/>
    <w:rsid w:val="003E204E"/>
    <w:rsid w:val="003E449B"/>
    <w:rsid w:val="003E51AC"/>
    <w:rsid w:val="003E5E12"/>
    <w:rsid w:val="003E5F6D"/>
    <w:rsid w:val="003E627E"/>
    <w:rsid w:val="003E7545"/>
    <w:rsid w:val="003E76F0"/>
    <w:rsid w:val="003F153E"/>
    <w:rsid w:val="003F1607"/>
    <w:rsid w:val="003F1B89"/>
    <w:rsid w:val="003F1E5B"/>
    <w:rsid w:val="003F48AD"/>
    <w:rsid w:val="003F4E89"/>
    <w:rsid w:val="003F59C7"/>
    <w:rsid w:val="003F6391"/>
    <w:rsid w:val="00400B3E"/>
    <w:rsid w:val="00402186"/>
    <w:rsid w:val="00402F7D"/>
    <w:rsid w:val="00403523"/>
    <w:rsid w:val="00405BC8"/>
    <w:rsid w:val="00405F6F"/>
    <w:rsid w:val="00406208"/>
    <w:rsid w:val="00406474"/>
    <w:rsid w:val="004064D0"/>
    <w:rsid w:val="004069C4"/>
    <w:rsid w:val="00407741"/>
    <w:rsid w:val="00407B54"/>
    <w:rsid w:val="00407F75"/>
    <w:rsid w:val="004104B8"/>
    <w:rsid w:val="00410694"/>
    <w:rsid w:val="00411727"/>
    <w:rsid w:val="004134A8"/>
    <w:rsid w:val="00413E07"/>
    <w:rsid w:val="004144BA"/>
    <w:rsid w:val="00423610"/>
    <w:rsid w:val="004237DC"/>
    <w:rsid w:val="00424629"/>
    <w:rsid w:val="00424950"/>
    <w:rsid w:val="004275F4"/>
    <w:rsid w:val="00427687"/>
    <w:rsid w:val="004333AE"/>
    <w:rsid w:val="00433DA7"/>
    <w:rsid w:val="00434890"/>
    <w:rsid w:val="0043499B"/>
    <w:rsid w:val="00435113"/>
    <w:rsid w:val="00435496"/>
    <w:rsid w:val="00435CCE"/>
    <w:rsid w:val="00436755"/>
    <w:rsid w:val="004367EC"/>
    <w:rsid w:val="00440492"/>
    <w:rsid w:val="004414A8"/>
    <w:rsid w:val="004420D8"/>
    <w:rsid w:val="00445C9A"/>
    <w:rsid w:val="00446C62"/>
    <w:rsid w:val="00450100"/>
    <w:rsid w:val="00451313"/>
    <w:rsid w:val="00451CF1"/>
    <w:rsid w:val="004522CD"/>
    <w:rsid w:val="00452D1F"/>
    <w:rsid w:val="00454F2B"/>
    <w:rsid w:val="00455F48"/>
    <w:rsid w:val="004568FE"/>
    <w:rsid w:val="004601C5"/>
    <w:rsid w:val="00460AE7"/>
    <w:rsid w:val="00461300"/>
    <w:rsid w:val="0046296E"/>
    <w:rsid w:val="0046300C"/>
    <w:rsid w:val="00463BF1"/>
    <w:rsid w:val="00464096"/>
    <w:rsid w:val="00467E4D"/>
    <w:rsid w:val="0047164D"/>
    <w:rsid w:val="004725AA"/>
    <w:rsid w:val="00472FEB"/>
    <w:rsid w:val="004736C2"/>
    <w:rsid w:val="0047440D"/>
    <w:rsid w:val="00475AE9"/>
    <w:rsid w:val="00481C8B"/>
    <w:rsid w:val="00482353"/>
    <w:rsid w:val="00482781"/>
    <w:rsid w:val="00482EB1"/>
    <w:rsid w:val="00483EF2"/>
    <w:rsid w:val="00484419"/>
    <w:rsid w:val="004845A7"/>
    <w:rsid w:val="00484EC9"/>
    <w:rsid w:val="00485DF0"/>
    <w:rsid w:val="0049025E"/>
    <w:rsid w:val="004911C2"/>
    <w:rsid w:val="004918B5"/>
    <w:rsid w:val="00491C0E"/>
    <w:rsid w:val="00493AAA"/>
    <w:rsid w:val="004952CF"/>
    <w:rsid w:val="004953ED"/>
    <w:rsid w:val="0049731C"/>
    <w:rsid w:val="004A0265"/>
    <w:rsid w:val="004A0393"/>
    <w:rsid w:val="004A177E"/>
    <w:rsid w:val="004A1B87"/>
    <w:rsid w:val="004A2385"/>
    <w:rsid w:val="004A2C1A"/>
    <w:rsid w:val="004A2DF4"/>
    <w:rsid w:val="004A390D"/>
    <w:rsid w:val="004A59BC"/>
    <w:rsid w:val="004A6B2A"/>
    <w:rsid w:val="004B0B40"/>
    <w:rsid w:val="004B0ED3"/>
    <w:rsid w:val="004B3890"/>
    <w:rsid w:val="004B45B6"/>
    <w:rsid w:val="004B71C9"/>
    <w:rsid w:val="004C1A72"/>
    <w:rsid w:val="004C25DC"/>
    <w:rsid w:val="004C50AA"/>
    <w:rsid w:val="004C531A"/>
    <w:rsid w:val="004C5509"/>
    <w:rsid w:val="004C65EC"/>
    <w:rsid w:val="004C6E78"/>
    <w:rsid w:val="004D0054"/>
    <w:rsid w:val="004D03B6"/>
    <w:rsid w:val="004D070A"/>
    <w:rsid w:val="004D31D8"/>
    <w:rsid w:val="004D39A6"/>
    <w:rsid w:val="004D6558"/>
    <w:rsid w:val="004D6D24"/>
    <w:rsid w:val="004D7452"/>
    <w:rsid w:val="004E10C1"/>
    <w:rsid w:val="004E21AA"/>
    <w:rsid w:val="004E3097"/>
    <w:rsid w:val="004E4577"/>
    <w:rsid w:val="004E5604"/>
    <w:rsid w:val="004E5A9E"/>
    <w:rsid w:val="004E5BFE"/>
    <w:rsid w:val="004F0BBC"/>
    <w:rsid w:val="004F1454"/>
    <w:rsid w:val="004F503F"/>
    <w:rsid w:val="004F5A2D"/>
    <w:rsid w:val="004F64EE"/>
    <w:rsid w:val="004F7B0E"/>
    <w:rsid w:val="00503214"/>
    <w:rsid w:val="005071EE"/>
    <w:rsid w:val="00507465"/>
    <w:rsid w:val="00510175"/>
    <w:rsid w:val="00511EB0"/>
    <w:rsid w:val="00515955"/>
    <w:rsid w:val="00516ED8"/>
    <w:rsid w:val="00516F77"/>
    <w:rsid w:val="00517553"/>
    <w:rsid w:val="0052172F"/>
    <w:rsid w:val="00521D28"/>
    <w:rsid w:val="00522170"/>
    <w:rsid w:val="00522470"/>
    <w:rsid w:val="0052491F"/>
    <w:rsid w:val="00524AC1"/>
    <w:rsid w:val="00524FCF"/>
    <w:rsid w:val="005278DD"/>
    <w:rsid w:val="00527B13"/>
    <w:rsid w:val="0053018D"/>
    <w:rsid w:val="00530D30"/>
    <w:rsid w:val="00531144"/>
    <w:rsid w:val="005356B0"/>
    <w:rsid w:val="00536343"/>
    <w:rsid w:val="00540BA2"/>
    <w:rsid w:val="005433B8"/>
    <w:rsid w:val="005523FF"/>
    <w:rsid w:val="0055465D"/>
    <w:rsid w:val="00557E1C"/>
    <w:rsid w:val="005626C4"/>
    <w:rsid w:val="00562BC2"/>
    <w:rsid w:val="005640C1"/>
    <w:rsid w:val="005642AF"/>
    <w:rsid w:val="00564C84"/>
    <w:rsid w:val="0056592B"/>
    <w:rsid w:val="00567379"/>
    <w:rsid w:val="0057031C"/>
    <w:rsid w:val="00570E57"/>
    <w:rsid w:val="0057159D"/>
    <w:rsid w:val="00572FF3"/>
    <w:rsid w:val="0057476F"/>
    <w:rsid w:val="005748B6"/>
    <w:rsid w:val="00574D5B"/>
    <w:rsid w:val="00576518"/>
    <w:rsid w:val="00576950"/>
    <w:rsid w:val="00577140"/>
    <w:rsid w:val="00577435"/>
    <w:rsid w:val="00577A51"/>
    <w:rsid w:val="00580218"/>
    <w:rsid w:val="00581518"/>
    <w:rsid w:val="00581841"/>
    <w:rsid w:val="0058331C"/>
    <w:rsid w:val="0058383D"/>
    <w:rsid w:val="00593C97"/>
    <w:rsid w:val="00594293"/>
    <w:rsid w:val="00594309"/>
    <w:rsid w:val="005951F8"/>
    <w:rsid w:val="00595DFE"/>
    <w:rsid w:val="00595F59"/>
    <w:rsid w:val="00596936"/>
    <w:rsid w:val="005A0457"/>
    <w:rsid w:val="005A0CC5"/>
    <w:rsid w:val="005A30A4"/>
    <w:rsid w:val="005A49B0"/>
    <w:rsid w:val="005A5029"/>
    <w:rsid w:val="005A5858"/>
    <w:rsid w:val="005A6CE4"/>
    <w:rsid w:val="005A71A2"/>
    <w:rsid w:val="005A73B9"/>
    <w:rsid w:val="005A76F0"/>
    <w:rsid w:val="005B0B97"/>
    <w:rsid w:val="005B17E6"/>
    <w:rsid w:val="005B42D0"/>
    <w:rsid w:val="005C087F"/>
    <w:rsid w:val="005C163B"/>
    <w:rsid w:val="005C1C25"/>
    <w:rsid w:val="005C41E5"/>
    <w:rsid w:val="005C4D5A"/>
    <w:rsid w:val="005C7F7C"/>
    <w:rsid w:val="005D142C"/>
    <w:rsid w:val="005D28BE"/>
    <w:rsid w:val="005D2995"/>
    <w:rsid w:val="005D4450"/>
    <w:rsid w:val="005D461E"/>
    <w:rsid w:val="005D5462"/>
    <w:rsid w:val="005E079E"/>
    <w:rsid w:val="005E3259"/>
    <w:rsid w:val="005E3514"/>
    <w:rsid w:val="005E38DC"/>
    <w:rsid w:val="005E5801"/>
    <w:rsid w:val="005F12DE"/>
    <w:rsid w:val="005F18FF"/>
    <w:rsid w:val="005F282A"/>
    <w:rsid w:val="005F331C"/>
    <w:rsid w:val="005F41B4"/>
    <w:rsid w:val="005F42DD"/>
    <w:rsid w:val="005F4B53"/>
    <w:rsid w:val="005F5257"/>
    <w:rsid w:val="005F7828"/>
    <w:rsid w:val="00600B86"/>
    <w:rsid w:val="0060444C"/>
    <w:rsid w:val="006052B0"/>
    <w:rsid w:val="00605CB0"/>
    <w:rsid w:val="00606724"/>
    <w:rsid w:val="00610515"/>
    <w:rsid w:val="00610540"/>
    <w:rsid w:val="00613099"/>
    <w:rsid w:val="00613AF5"/>
    <w:rsid w:val="00614D2B"/>
    <w:rsid w:val="006151C2"/>
    <w:rsid w:val="00615DDF"/>
    <w:rsid w:val="00616F2A"/>
    <w:rsid w:val="00617C93"/>
    <w:rsid w:val="006210C7"/>
    <w:rsid w:val="00621750"/>
    <w:rsid w:val="00623C0D"/>
    <w:rsid w:val="006274A7"/>
    <w:rsid w:val="0063101B"/>
    <w:rsid w:val="00631804"/>
    <w:rsid w:val="00631813"/>
    <w:rsid w:val="00631B7F"/>
    <w:rsid w:val="006324A2"/>
    <w:rsid w:val="00632728"/>
    <w:rsid w:val="0063277D"/>
    <w:rsid w:val="006343BE"/>
    <w:rsid w:val="00635409"/>
    <w:rsid w:val="0063546A"/>
    <w:rsid w:val="00636E7D"/>
    <w:rsid w:val="0064032E"/>
    <w:rsid w:val="006406A6"/>
    <w:rsid w:val="00642166"/>
    <w:rsid w:val="006423D1"/>
    <w:rsid w:val="00643DAC"/>
    <w:rsid w:val="0064613A"/>
    <w:rsid w:val="006467B4"/>
    <w:rsid w:val="00647FD3"/>
    <w:rsid w:val="006502C0"/>
    <w:rsid w:val="0065078F"/>
    <w:rsid w:val="00651EF3"/>
    <w:rsid w:val="00652D76"/>
    <w:rsid w:val="00653193"/>
    <w:rsid w:val="0065642A"/>
    <w:rsid w:val="00660E5F"/>
    <w:rsid w:val="00664149"/>
    <w:rsid w:val="00664185"/>
    <w:rsid w:val="006654A6"/>
    <w:rsid w:val="00665DB1"/>
    <w:rsid w:val="00666646"/>
    <w:rsid w:val="00670C89"/>
    <w:rsid w:val="00672E26"/>
    <w:rsid w:val="00672F6F"/>
    <w:rsid w:val="00673DFC"/>
    <w:rsid w:val="00674062"/>
    <w:rsid w:val="00677E52"/>
    <w:rsid w:val="00680606"/>
    <w:rsid w:val="00684E72"/>
    <w:rsid w:val="00693EA9"/>
    <w:rsid w:val="006951D5"/>
    <w:rsid w:val="00695764"/>
    <w:rsid w:val="006A1569"/>
    <w:rsid w:val="006A1E4C"/>
    <w:rsid w:val="006A26DE"/>
    <w:rsid w:val="006A3097"/>
    <w:rsid w:val="006A3A2D"/>
    <w:rsid w:val="006A3B03"/>
    <w:rsid w:val="006A671D"/>
    <w:rsid w:val="006A73BF"/>
    <w:rsid w:val="006A7E2F"/>
    <w:rsid w:val="006B18D3"/>
    <w:rsid w:val="006B1946"/>
    <w:rsid w:val="006B243C"/>
    <w:rsid w:val="006B2790"/>
    <w:rsid w:val="006B29C4"/>
    <w:rsid w:val="006B441B"/>
    <w:rsid w:val="006B5C72"/>
    <w:rsid w:val="006B634A"/>
    <w:rsid w:val="006B689F"/>
    <w:rsid w:val="006B72B4"/>
    <w:rsid w:val="006B72BE"/>
    <w:rsid w:val="006C0830"/>
    <w:rsid w:val="006C24A2"/>
    <w:rsid w:val="006C24A7"/>
    <w:rsid w:val="006C286E"/>
    <w:rsid w:val="006C2E84"/>
    <w:rsid w:val="006C376B"/>
    <w:rsid w:val="006C3A0F"/>
    <w:rsid w:val="006C4C51"/>
    <w:rsid w:val="006C52FE"/>
    <w:rsid w:val="006C60EF"/>
    <w:rsid w:val="006C6551"/>
    <w:rsid w:val="006D049B"/>
    <w:rsid w:val="006D0EB4"/>
    <w:rsid w:val="006D1D7E"/>
    <w:rsid w:val="006D1FE7"/>
    <w:rsid w:val="006D2F5D"/>
    <w:rsid w:val="006D3D8C"/>
    <w:rsid w:val="006D4243"/>
    <w:rsid w:val="006D4636"/>
    <w:rsid w:val="006D6AA2"/>
    <w:rsid w:val="006E03F5"/>
    <w:rsid w:val="006E0DE4"/>
    <w:rsid w:val="006E1E54"/>
    <w:rsid w:val="006E2580"/>
    <w:rsid w:val="006E2B0D"/>
    <w:rsid w:val="006E7378"/>
    <w:rsid w:val="006F11A7"/>
    <w:rsid w:val="006F273E"/>
    <w:rsid w:val="006F368F"/>
    <w:rsid w:val="006F3890"/>
    <w:rsid w:val="006F3E78"/>
    <w:rsid w:val="006F7FE3"/>
    <w:rsid w:val="0070012C"/>
    <w:rsid w:val="00700497"/>
    <w:rsid w:val="007013F4"/>
    <w:rsid w:val="007048E9"/>
    <w:rsid w:val="0070640B"/>
    <w:rsid w:val="00706731"/>
    <w:rsid w:val="007067B1"/>
    <w:rsid w:val="0071230E"/>
    <w:rsid w:val="007133A3"/>
    <w:rsid w:val="0071471E"/>
    <w:rsid w:val="00717C15"/>
    <w:rsid w:val="0072461E"/>
    <w:rsid w:val="00726090"/>
    <w:rsid w:val="007265C4"/>
    <w:rsid w:val="00731042"/>
    <w:rsid w:val="007310A8"/>
    <w:rsid w:val="007314DA"/>
    <w:rsid w:val="00732D39"/>
    <w:rsid w:val="007338BC"/>
    <w:rsid w:val="007348CC"/>
    <w:rsid w:val="0073583D"/>
    <w:rsid w:val="00735DA9"/>
    <w:rsid w:val="0074012B"/>
    <w:rsid w:val="007411BE"/>
    <w:rsid w:val="00742B7D"/>
    <w:rsid w:val="00742E44"/>
    <w:rsid w:val="007430EC"/>
    <w:rsid w:val="00743292"/>
    <w:rsid w:val="007441BD"/>
    <w:rsid w:val="00744915"/>
    <w:rsid w:val="00746736"/>
    <w:rsid w:val="0075040C"/>
    <w:rsid w:val="00750A86"/>
    <w:rsid w:val="0075180C"/>
    <w:rsid w:val="00751C17"/>
    <w:rsid w:val="00751C55"/>
    <w:rsid w:val="00751FCF"/>
    <w:rsid w:val="0075269F"/>
    <w:rsid w:val="00753562"/>
    <w:rsid w:val="00754BD0"/>
    <w:rsid w:val="0075791B"/>
    <w:rsid w:val="00760949"/>
    <w:rsid w:val="00761E91"/>
    <w:rsid w:val="0076428D"/>
    <w:rsid w:val="00765411"/>
    <w:rsid w:val="00765893"/>
    <w:rsid w:val="00766678"/>
    <w:rsid w:val="007671CE"/>
    <w:rsid w:val="007714EA"/>
    <w:rsid w:val="007737AD"/>
    <w:rsid w:val="00773970"/>
    <w:rsid w:val="00773B6A"/>
    <w:rsid w:val="0077508F"/>
    <w:rsid w:val="007753D8"/>
    <w:rsid w:val="00776526"/>
    <w:rsid w:val="00777037"/>
    <w:rsid w:val="00780357"/>
    <w:rsid w:val="00780FED"/>
    <w:rsid w:val="00782BBB"/>
    <w:rsid w:val="00782CD0"/>
    <w:rsid w:val="00783C31"/>
    <w:rsid w:val="00785087"/>
    <w:rsid w:val="00785412"/>
    <w:rsid w:val="007867C6"/>
    <w:rsid w:val="00786E5B"/>
    <w:rsid w:val="007909DD"/>
    <w:rsid w:val="00791E9E"/>
    <w:rsid w:val="007920F2"/>
    <w:rsid w:val="00792B2B"/>
    <w:rsid w:val="00792F7E"/>
    <w:rsid w:val="00793B7E"/>
    <w:rsid w:val="0079407B"/>
    <w:rsid w:val="007962A4"/>
    <w:rsid w:val="0079736D"/>
    <w:rsid w:val="00797A5F"/>
    <w:rsid w:val="007A0BBA"/>
    <w:rsid w:val="007A24DB"/>
    <w:rsid w:val="007A2FA4"/>
    <w:rsid w:val="007A4700"/>
    <w:rsid w:val="007A6020"/>
    <w:rsid w:val="007A6B1D"/>
    <w:rsid w:val="007A7B70"/>
    <w:rsid w:val="007B047D"/>
    <w:rsid w:val="007B3BE8"/>
    <w:rsid w:val="007B504F"/>
    <w:rsid w:val="007B7385"/>
    <w:rsid w:val="007C0428"/>
    <w:rsid w:val="007C2756"/>
    <w:rsid w:val="007C2C13"/>
    <w:rsid w:val="007C4F52"/>
    <w:rsid w:val="007C5ADC"/>
    <w:rsid w:val="007C7B12"/>
    <w:rsid w:val="007C7D15"/>
    <w:rsid w:val="007D0858"/>
    <w:rsid w:val="007D2896"/>
    <w:rsid w:val="007D3E67"/>
    <w:rsid w:val="007D6F4F"/>
    <w:rsid w:val="007D7C81"/>
    <w:rsid w:val="007E274B"/>
    <w:rsid w:val="007E2E1F"/>
    <w:rsid w:val="007E6827"/>
    <w:rsid w:val="007E7BE1"/>
    <w:rsid w:val="007F0308"/>
    <w:rsid w:val="007F0E14"/>
    <w:rsid w:val="007F15DB"/>
    <w:rsid w:val="007F2D9C"/>
    <w:rsid w:val="007F5E93"/>
    <w:rsid w:val="007F63CF"/>
    <w:rsid w:val="00800DA2"/>
    <w:rsid w:val="008011E6"/>
    <w:rsid w:val="00801675"/>
    <w:rsid w:val="00801CBA"/>
    <w:rsid w:val="00802D30"/>
    <w:rsid w:val="0080413B"/>
    <w:rsid w:val="008055B1"/>
    <w:rsid w:val="00805BC2"/>
    <w:rsid w:val="00807C2F"/>
    <w:rsid w:val="00807D07"/>
    <w:rsid w:val="00811922"/>
    <w:rsid w:val="00812EB6"/>
    <w:rsid w:val="008143EC"/>
    <w:rsid w:val="0081668C"/>
    <w:rsid w:val="008178B9"/>
    <w:rsid w:val="00820944"/>
    <w:rsid w:val="00820A87"/>
    <w:rsid w:val="00821AFB"/>
    <w:rsid w:val="008221A0"/>
    <w:rsid w:val="008227C4"/>
    <w:rsid w:val="00822DCE"/>
    <w:rsid w:val="00824511"/>
    <w:rsid w:val="008255C7"/>
    <w:rsid w:val="00832D64"/>
    <w:rsid w:val="008334F7"/>
    <w:rsid w:val="00833679"/>
    <w:rsid w:val="00835926"/>
    <w:rsid w:val="00835BE5"/>
    <w:rsid w:val="00836676"/>
    <w:rsid w:val="0083670A"/>
    <w:rsid w:val="008409CD"/>
    <w:rsid w:val="008409ED"/>
    <w:rsid w:val="00841DA4"/>
    <w:rsid w:val="00842D60"/>
    <w:rsid w:val="00844BA3"/>
    <w:rsid w:val="00845D32"/>
    <w:rsid w:val="008461CB"/>
    <w:rsid w:val="0084723F"/>
    <w:rsid w:val="00850C33"/>
    <w:rsid w:val="00853891"/>
    <w:rsid w:val="00855841"/>
    <w:rsid w:val="0085715C"/>
    <w:rsid w:val="0086177E"/>
    <w:rsid w:val="0086266D"/>
    <w:rsid w:val="0086341D"/>
    <w:rsid w:val="00867F2F"/>
    <w:rsid w:val="00870368"/>
    <w:rsid w:val="00870B33"/>
    <w:rsid w:val="00871ADF"/>
    <w:rsid w:val="00872C39"/>
    <w:rsid w:val="00873574"/>
    <w:rsid w:val="0087518E"/>
    <w:rsid w:val="00876209"/>
    <w:rsid w:val="00880068"/>
    <w:rsid w:val="008813AB"/>
    <w:rsid w:val="00881FB6"/>
    <w:rsid w:val="00882608"/>
    <w:rsid w:val="00883220"/>
    <w:rsid w:val="008849C1"/>
    <w:rsid w:val="00884EFE"/>
    <w:rsid w:val="008878A3"/>
    <w:rsid w:val="00887BF5"/>
    <w:rsid w:val="00890531"/>
    <w:rsid w:val="0089601C"/>
    <w:rsid w:val="00896993"/>
    <w:rsid w:val="00897364"/>
    <w:rsid w:val="008A0472"/>
    <w:rsid w:val="008A2D67"/>
    <w:rsid w:val="008A310E"/>
    <w:rsid w:val="008A32D2"/>
    <w:rsid w:val="008A55E7"/>
    <w:rsid w:val="008A5D07"/>
    <w:rsid w:val="008A772E"/>
    <w:rsid w:val="008A78AB"/>
    <w:rsid w:val="008B1532"/>
    <w:rsid w:val="008B2CC0"/>
    <w:rsid w:val="008B342F"/>
    <w:rsid w:val="008B3F7B"/>
    <w:rsid w:val="008B4187"/>
    <w:rsid w:val="008B514E"/>
    <w:rsid w:val="008B527A"/>
    <w:rsid w:val="008B69FC"/>
    <w:rsid w:val="008B6B71"/>
    <w:rsid w:val="008B7010"/>
    <w:rsid w:val="008B763D"/>
    <w:rsid w:val="008C2D1F"/>
    <w:rsid w:val="008C5210"/>
    <w:rsid w:val="008C5F23"/>
    <w:rsid w:val="008C6211"/>
    <w:rsid w:val="008C645D"/>
    <w:rsid w:val="008D05A3"/>
    <w:rsid w:val="008D29CB"/>
    <w:rsid w:val="008D2A31"/>
    <w:rsid w:val="008D5EAB"/>
    <w:rsid w:val="008D695B"/>
    <w:rsid w:val="008D78E2"/>
    <w:rsid w:val="008D7E08"/>
    <w:rsid w:val="008E0101"/>
    <w:rsid w:val="008E0142"/>
    <w:rsid w:val="008E0BF4"/>
    <w:rsid w:val="008E1BAD"/>
    <w:rsid w:val="008E2769"/>
    <w:rsid w:val="008E428C"/>
    <w:rsid w:val="008E438C"/>
    <w:rsid w:val="008E6ABC"/>
    <w:rsid w:val="008E7330"/>
    <w:rsid w:val="008F177B"/>
    <w:rsid w:val="008F3202"/>
    <w:rsid w:val="008F6928"/>
    <w:rsid w:val="008F6F64"/>
    <w:rsid w:val="00901B50"/>
    <w:rsid w:val="00902C88"/>
    <w:rsid w:val="009043A0"/>
    <w:rsid w:val="00907309"/>
    <w:rsid w:val="00911A38"/>
    <w:rsid w:val="0091295C"/>
    <w:rsid w:val="00912D96"/>
    <w:rsid w:val="009130B7"/>
    <w:rsid w:val="009142DB"/>
    <w:rsid w:val="00914F8D"/>
    <w:rsid w:val="00914FA6"/>
    <w:rsid w:val="009157CF"/>
    <w:rsid w:val="00917042"/>
    <w:rsid w:val="009177E6"/>
    <w:rsid w:val="00920B98"/>
    <w:rsid w:val="009225C1"/>
    <w:rsid w:val="009229F2"/>
    <w:rsid w:val="00922DC8"/>
    <w:rsid w:val="00923162"/>
    <w:rsid w:val="0092369C"/>
    <w:rsid w:val="00924B95"/>
    <w:rsid w:val="009261DD"/>
    <w:rsid w:val="009305CC"/>
    <w:rsid w:val="0093081E"/>
    <w:rsid w:val="0093362B"/>
    <w:rsid w:val="009341DF"/>
    <w:rsid w:val="009352D1"/>
    <w:rsid w:val="009364BF"/>
    <w:rsid w:val="00936FC2"/>
    <w:rsid w:val="00937CFA"/>
    <w:rsid w:val="00940EB4"/>
    <w:rsid w:val="00943502"/>
    <w:rsid w:val="00943FEA"/>
    <w:rsid w:val="00944817"/>
    <w:rsid w:val="00944D7B"/>
    <w:rsid w:val="0094645C"/>
    <w:rsid w:val="00950A84"/>
    <w:rsid w:val="00951D4C"/>
    <w:rsid w:val="0095313E"/>
    <w:rsid w:val="009539BC"/>
    <w:rsid w:val="009547B9"/>
    <w:rsid w:val="009550DB"/>
    <w:rsid w:val="00956BB6"/>
    <w:rsid w:val="009578B5"/>
    <w:rsid w:val="00961FA8"/>
    <w:rsid w:val="00962A21"/>
    <w:rsid w:val="00963E64"/>
    <w:rsid w:val="0096451F"/>
    <w:rsid w:val="00964580"/>
    <w:rsid w:val="0096466E"/>
    <w:rsid w:val="0096731C"/>
    <w:rsid w:val="00967ECC"/>
    <w:rsid w:val="00970476"/>
    <w:rsid w:val="009706AD"/>
    <w:rsid w:val="00973BEB"/>
    <w:rsid w:val="009744C8"/>
    <w:rsid w:val="0097583C"/>
    <w:rsid w:val="00976BAC"/>
    <w:rsid w:val="00976E55"/>
    <w:rsid w:val="00977023"/>
    <w:rsid w:val="00977B1C"/>
    <w:rsid w:val="00980600"/>
    <w:rsid w:val="00981A88"/>
    <w:rsid w:val="00981E84"/>
    <w:rsid w:val="00982107"/>
    <w:rsid w:val="00982256"/>
    <w:rsid w:val="0098344C"/>
    <w:rsid w:val="009837B1"/>
    <w:rsid w:val="009839CC"/>
    <w:rsid w:val="00983A2C"/>
    <w:rsid w:val="00984965"/>
    <w:rsid w:val="009913FA"/>
    <w:rsid w:val="00991D1F"/>
    <w:rsid w:val="00991F29"/>
    <w:rsid w:val="009922E5"/>
    <w:rsid w:val="00992A36"/>
    <w:rsid w:val="00993AE4"/>
    <w:rsid w:val="00994903"/>
    <w:rsid w:val="00995913"/>
    <w:rsid w:val="00996251"/>
    <w:rsid w:val="00996FAB"/>
    <w:rsid w:val="009A1408"/>
    <w:rsid w:val="009A199A"/>
    <w:rsid w:val="009A29A9"/>
    <w:rsid w:val="009A29CB"/>
    <w:rsid w:val="009A499C"/>
    <w:rsid w:val="009A5557"/>
    <w:rsid w:val="009A614F"/>
    <w:rsid w:val="009A6430"/>
    <w:rsid w:val="009A713B"/>
    <w:rsid w:val="009A7AAB"/>
    <w:rsid w:val="009B1A20"/>
    <w:rsid w:val="009B1C50"/>
    <w:rsid w:val="009B20B5"/>
    <w:rsid w:val="009B2B46"/>
    <w:rsid w:val="009B3579"/>
    <w:rsid w:val="009B4D58"/>
    <w:rsid w:val="009B54EB"/>
    <w:rsid w:val="009B71A7"/>
    <w:rsid w:val="009C0503"/>
    <w:rsid w:val="009C1BFD"/>
    <w:rsid w:val="009C4025"/>
    <w:rsid w:val="009C4722"/>
    <w:rsid w:val="009C7151"/>
    <w:rsid w:val="009D0A97"/>
    <w:rsid w:val="009D0D5B"/>
    <w:rsid w:val="009D1512"/>
    <w:rsid w:val="009D50E2"/>
    <w:rsid w:val="009D52DF"/>
    <w:rsid w:val="009D5B7B"/>
    <w:rsid w:val="009D691C"/>
    <w:rsid w:val="009D74E4"/>
    <w:rsid w:val="009D7758"/>
    <w:rsid w:val="009E074D"/>
    <w:rsid w:val="009E0DFB"/>
    <w:rsid w:val="009E1024"/>
    <w:rsid w:val="009E3E2C"/>
    <w:rsid w:val="009E44B5"/>
    <w:rsid w:val="009E4DFA"/>
    <w:rsid w:val="009E6048"/>
    <w:rsid w:val="009E7271"/>
    <w:rsid w:val="009F0551"/>
    <w:rsid w:val="009F2F82"/>
    <w:rsid w:val="009F3544"/>
    <w:rsid w:val="009F3702"/>
    <w:rsid w:val="009F4C88"/>
    <w:rsid w:val="009F529D"/>
    <w:rsid w:val="009F7DFA"/>
    <w:rsid w:val="00A00930"/>
    <w:rsid w:val="00A01F0E"/>
    <w:rsid w:val="00A0213C"/>
    <w:rsid w:val="00A02725"/>
    <w:rsid w:val="00A03491"/>
    <w:rsid w:val="00A05176"/>
    <w:rsid w:val="00A0707D"/>
    <w:rsid w:val="00A07139"/>
    <w:rsid w:val="00A077B3"/>
    <w:rsid w:val="00A105D0"/>
    <w:rsid w:val="00A10CDB"/>
    <w:rsid w:val="00A14BBF"/>
    <w:rsid w:val="00A16144"/>
    <w:rsid w:val="00A17C07"/>
    <w:rsid w:val="00A2097E"/>
    <w:rsid w:val="00A210C3"/>
    <w:rsid w:val="00A2327D"/>
    <w:rsid w:val="00A24174"/>
    <w:rsid w:val="00A2502D"/>
    <w:rsid w:val="00A30575"/>
    <w:rsid w:val="00A3062B"/>
    <w:rsid w:val="00A3085F"/>
    <w:rsid w:val="00A31C42"/>
    <w:rsid w:val="00A3296E"/>
    <w:rsid w:val="00A35A00"/>
    <w:rsid w:val="00A36109"/>
    <w:rsid w:val="00A36384"/>
    <w:rsid w:val="00A372DD"/>
    <w:rsid w:val="00A374D2"/>
    <w:rsid w:val="00A3767D"/>
    <w:rsid w:val="00A37B76"/>
    <w:rsid w:val="00A43A72"/>
    <w:rsid w:val="00A45293"/>
    <w:rsid w:val="00A46047"/>
    <w:rsid w:val="00A46771"/>
    <w:rsid w:val="00A47B66"/>
    <w:rsid w:val="00A47BDA"/>
    <w:rsid w:val="00A502E3"/>
    <w:rsid w:val="00A50FF0"/>
    <w:rsid w:val="00A51641"/>
    <w:rsid w:val="00A525F1"/>
    <w:rsid w:val="00A533A9"/>
    <w:rsid w:val="00A54866"/>
    <w:rsid w:val="00A55F53"/>
    <w:rsid w:val="00A60B5B"/>
    <w:rsid w:val="00A6116E"/>
    <w:rsid w:val="00A651E6"/>
    <w:rsid w:val="00A652DC"/>
    <w:rsid w:val="00A658E2"/>
    <w:rsid w:val="00A65FF1"/>
    <w:rsid w:val="00A67951"/>
    <w:rsid w:val="00A71435"/>
    <w:rsid w:val="00A73B71"/>
    <w:rsid w:val="00A73DB1"/>
    <w:rsid w:val="00A74D1A"/>
    <w:rsid w:val="00A75BC4"/>
    <w:rsid w:val="00A763C9"/>
    <w:rsid w:val="00A772D9"/>
    <w:rsid w:val="00A77E6F"/>
    <w:rsid w:val="00A80303"/>
    <w:rsid w:val="00A80EA3"/>
    <w:rsid w:val="00A82BDE"/>
    <w:rsid w:val="00A82D48"/>
    <w:rsid w:val="00A83EE6"/>
    <w:rsid w:val="00A841F0"/>
    <w:rsid w:val="00A843D2"/>
    <w:rsid w:val="00A851C1"/>
    <w:rsid w:val="00A87E54"/>
    <w:rsid w:val="00A908EC"/>
    <w:rsid w:val="00A92E43"/>
    <w:rsid w:val="00A93FB4"/>
    <w:rsid w:val="00A94377"/>
    <w:rsid w:val="00A95FCC"/>
    <w:rsid w:val="00A96B59"/>
    <w:rsid w:val="00AA02B5"/>
    <w:rsid w:val="00AA11AA"/>
    <w:rsid w:val="00AA2828"/>
    <w:rsid w:val="00AA3213"/>
    <w:rsid w:val="00AA3FC4"/>
    <w:rsid w:val="00AA5434"/>
    <w:rsid w:val="00AA621A"/>
    <w:rsid w:val="00AA734F"/>
    <w:rsid w:val="00AB09B8"/>
    <w:rsid w:val="00AB4175"/>
    <w:rsid w:val="00AB5ADB"/>
    <w:rsid w:val="00AB5B55"/>
    <w:rsid w:val="00AB6671"/>
    <w:rsid w:val="00AB71D6"/>
    <w:rsid w:val="00AC0BB6"/>
    <w:rsid w:val="00AC1F2C"/>
    <w:rsid w:val="00AC2A4D"/>
    <w:rsid w:val="00AC2CDE"/>
    <w:rsid w:val="00AC33F9"/>
    <w:rsid w:val="00AC3814"/>
    <w:rsid w:val="00AC4A0C"/>
    <w:rsid w:val="00AC53B0"/>
    <w:rsid w:val="00AC62A8"/>
    <w:rsid w:val="00AC7364"/>
    <w:rsid w:val="00AC78FA"/>
    <w:rsid w:val="00AD2283"/>
    <w:rsid w:val="00AD2A5F"/>
    <w:rsid w:val="00AD2DA9"/>
    <w:rsid w:val="00AD387D"/>
    <w:rsid w:val="00AD4086"/>
    <w:rsid w:val="00AD48F5"/>
    <w:rsid w:val="00AD6682"/>
    <w:rsid w:val="00AD6C7F"/>
    <w:rsid w:val="00AD6C92"/>
    <w:rsid w:val="00AE01A4"/>
    <w:rsid w:val="00AE0839"/>
    <w:rsid w:val="00AE219E"/>
    <w:rsid w:val="00AE3C04"/>
    <w:rsid w:val="00AE48D6"/>
    <w:rsid w:val="00AE54F9"/>
    <w:rsid w:val="00AF1433"/>
    <w:rsid w:val="00AF322C"/>
    <w:rsid w:val="00AF4AD7"/>
    <w:rsid w:val="00AF59C1"/>
    <w:rsid w:val="00B001F5"/>
    <w:rsid w:val="00B00C1D"/>
    <w:rsid w:val="00B014DA"/>
    <w:rsid w:val="00B01EDD"/>
    <w:rsid w:val="00B02677"/>
    <w:rsid w:val="00B02AF5"/>
    <w:rsid w:val="00B07439"/>
    <w:rsid w:val="00B07CE7"/>
    <w:rsid w:val="00B11A50"/>
    <w:rsid w:val="00B17B8C"/>
    <w:rsid w:val="00B212F5"/>
    <w:rsid w:val="00B216A6"/>
    <w:rsid w:val="00B21C69"/>
    <w:rsid w:val="00B22D9E"/>
    <w:rsid w:val="00B26715"/>
    <w:rsid w:val="00B27D53"/>
    <w:rsid w:val="00B312F4"/>
    <w:rsid w:val="00B31385"/>
    <w:rsid w:val="00B32836"/>
    <w:rsid w:val="00B32CE9"/>
    <w:rsid w:val="00B34478"/>
    <w:rsid w:val="00B35A8E"/>
    <w:rsid w:val="00B36DB2"/>
    <w:rsid w:val="00B378E2"/>
    <w:rsid w:val="00B37955"/>
    <w:rsid w:val="00B41258"/>
    <w:rsid w:val="00B41674"/>
    <w:rsid w:val="00B42FF0"/>
    <w:rsid w:val="00B43CEF"/>
    <w:rsid w:val="00B44281"/>
    <w:rsid w:val="00B45067"/>
    <w:rsid w:val="00B465F9"/>
    <w:rsid w:val="00B4733B"/>
    <w:rsid w:val="00B4761F"/>
    <w:rsid w:val="00B50A77"/>
    <w:rsid w:val="00B52FDF"/>
    <w:rsid w:val="00B53E44"/>
    <w:rsid w:val="00B5447A"/>
    <w:rsid w:val="00B551C9"/>
    <w:rsid w:val="00B5561C"/>
    <w:rsid w:val="00B55C7A"/>
    <w:rsid w:val="00B5637E"/>
    <w:rsid w:val="00B6231D"/>
    <w:rsid w:val="00B6282B"/>
    <w:rsid w:val="00B6312F"/>
    <w:rsid w:val="00B64D13"/>
    <w:rsid w:val="00B65014"/>
    <w:rsid w:val="00B653F3"/>
    <w:rsid w:val="00B65B6A"/>
    <w:rsid w:val="00B6781B"/>
    <w:rsid w:val="00B67E61"/>
    <w:rsid w:val="00B72868"/>
    <w:rsid w:val="00B73092"/>
    <w:rsid w:val="00B77EBA"/>
    <w:rsid w:val="00B82CA1"/>
    <w:rsid w:val="00B82FF1"/>
    <w:rsid w:val="00B83B3A"/>
    <w:rsid w:val="00B849DB"/>
    <w:rsid w:val="00B85838"/>
    <w:rsid w:val="00B87D19"/>
    <w:rsid w:val="00B908C3"/>
    <w:rsid w:val="00B90C6F"/>
    <w:rsid w:val="00B90E04"/>
    <w:rsid w:val="00B92D73"/>
    <w:rsid w:val="00B93C5D"/>
    <w:rsid w:val="00B94913"/>
    <w:rsid w:val="00B94C28"/>
    <w:rsid w:val="00B94DC7"/>
    <w:rsid w:val="00B95899"/>
    <w:rsid w:val="00B97997"/>
    <w:rsid w:val="00BA0666"/>
    <w:rsid w:val="00BA0814"/>
    <w:rsid w:val="00BA1318"/>
    <w:rsid w:val="00BA15CA"/>
    <w:rsid w:val="00BA22AB"/>
    <w:rsid w:val="00BA31CA"/>
    <w:rsid w:val="00BA521F"/>
    <w:rsid w:val="00BA594B"/>
    <w:rsid w:val="00BA7228"/>
    <w:rsid w:val="00BB4D7B"/>
    <w:rsid w:val="00BB56D9"/>
    <w:rsid w:val="00BC154E"/>
    <w:rsid w:val="00BC1D57"/>
    <w:rsid w:val="00BC2927"/>
    <w:rsid w:val="00BC2D1F"/>
    <w:rsid w:val="00BC56CA"/>
    <w:rsid w:val="00BC6541"/>
    <w:rsid w:val="00BC7589"/>
    <w:rsid w:val="00BC7DDA"/>
    <w:rsid w:val="00BC7E90"/>
    <w:rsid w:val="00BD0B5C"/>
    <w:rsid w:val="00BD0DC6"/>
    <w:rsid w:val="00BD0E71"/>
    <w:rsid w:val="00BD43A8"/>
    <w:rsid w:val="00BD558E"/>
    <w:rsid w:val="00BD6478"/>
    <w:rsid w:val="00BD68BB"/>
    <w:rsid w:val="00BE0BA0"/>
    <w:rsid w:val="00BE155B"/>
    <w:rsid w:val="00BE2453"/>
    <w:rsid w:val="00BE347C"/>
    <w:rsid w:val="00BE375F"/>
    <w:rsid w:val="00BF19BB"/>
    <w:rsid w:val="00BF548B"/>
    <w:rsid w:val="00BF5A7D"/>
    <w:rsid w:val="00BF6191"/>
    <w:rsid w:val="00BF64C4"/>
    <w:rsid w:val="00BF7BFF"/>
    <w:rsid w:val="00C00330"/>
    <w:rsid w:val="00C01A72"/>
    <w:rsid w:val="00C01C93"/>
    <w:rsid w:val="00C02F58"/>
    <w:rsid w:val="00C03339"/>
    <w:rsid w:val="00C03461"/>
    <w:rsid w:val="00C03A0F"/>
    <w:rsid w:val="00C0488C"/>
    <w:rsid w:val="00C049A3"/>
    <w:rsid w:val="00C0500A"/>
    <w:rsid w:val="00C05247"/>
    <w:rsid w:val="00C0619B"/>
    <w:rsid w:val="00C064B9"/>
    <w:rsid w:val="00C06815"/>
    <w:rsid w:val="00C0781E"/>
    <w:rsid w:val="00C100C1"/>
    <w:rsid w:val="00C124B4"/>
    <w:rsid w:val="00C134BF"/>
    <w:rsid w:val="00C160B3"/>
    <w:rsid w:val="00C16203"/>
    <w:rsid w:val="00C17A5C"/>
    <w:rsid w:val="00C21583"/>
    <w:rsid w:val="00C23136"/>
    <w:rsid w:val="00C23BE2"/>
    <w:rsid w:val="00C25560"/>
    <w:rsid w:val="00C26580"/>
    <w:rsid w:val="00C27D82"/>
    <w:rsid w:val="00C3196A"/>
    <w:rsid w:val="00C31B07"/>
    <w:rsid w:val="00C323B6"/>
    <w:rsid w:val="00C33845"/>
    <w:rsid w:val="00C34598"/>
    <w:rsid w:val="00C35F47"/>
    <w:rsid w:val="00C36BE6"/>
    <w:rsid w:val="00C41955"/>
    <w:rsid w:val="00C43152"/>
    <w:rsid w:val="00C44FCE"/>
    <w:rsid w:val="00C454DF"/>
    <w:rsid w:val="00C45E2E"/>
    <w:rsid w:val="00C46BBD"/>
    <w:rsid w:val="00C470DB"/>
    <w:rsid w:val="00C4731D"/>
    <w:rsid w:val="00C47F65"/>
    <w:rsid w:val="00C51B45"/>
    <w:rsid w:val="00C53B3F"/>
    <w:rsid w:val="00C5426B"/>
    <w:rsid w:val="00C54E70"/>
    <w:rsid w:val="00C55139"/>
    <w:rsid w:val="00C55F45"/>
    <w:rsid w:val="00C5612A"/>
    <w:rsid w:val="00C603C1"/>
    <w:rsid w:val="00C60E36"/>
    <w:rsid w:val="00C60F87"/>
    <w:rsid w:val="00C63B72"/>
    <w:rsid w:val="00C678EF"/>
    <w:rsid w:val="00C67A8D"/>
    <w:rsid w:val="00C719C9"/>
    <w:rsid w:val="00C72DF9"/>
    <w:rsid w:val="00C7302B"/>
    <w:rsid w:val="00C73F62"/>
    <w:rsid w:val="00C75DDF"/>
    <w:rsid w:val="00C763C0"/>
    <w:rsid w:val="00C769C8"/>
    <w:rsid w:val="00C772D6"/>
    <w:rsid w:val="00C773BE"/>
    <w:rsid w:val="00C801DD"/>
    <w:rsid w:val="00C81A82"/>
    <w:rsid w:val="00C81D3A"/>
    <w:rsid w:val="00C8279C"/>
    <w:rsid w:val="00C83122"/>
    <w:rsid w:val="00C85551"/>
    <w:rsid w:val="00C902D3"/>
    <w:rsid w:val="00C92243"/>
    <w:rsid w:val="00C92A3C"/>
    <w:rsid w:val="00C948D3"/>
    <w:rsid w:val="00C95469"/>
    <w:rsid w:val="00C954BA"/>
    <w:rsid w:val="00C96506"/>
    <w:rsid w:val="00CA0E84"/>
    <w:rsid w:val="00CA1ABE"/>
    <w:rsid w:val="00CA2F74"/>
    <w:rsid w:val="00CA446D"/>
    <w:rsid w:val="00CA44E1"/>
    <w:rsid w:val="00CA64D4"/>
    <w:rsid w:val="00CA7068"/>
    <w:rsid w:val="00CB0F3E"/>
    <w:rsid w:val="00CB1070"/>
    <w:rsid w:val="00CB1D03"/>
    <w:rsid w:val="00CB3718"/>
    <w:rsid w:val="00CB3E51"/>
    <w:rsid w:val="00CB4018"/>
    <w:rsid w:val="00CB54C0"/>
    <w:rsid w:val="00CB570A"/>
    <w:rsid w:val="00CB5BB2"/>
    <w:rsid w:val="00CB6B91"/>
    <w:rsid w:val="00CB6DCF"/>
    <w:rsid w:val="00CC17E9"/>
    <w:rsid w:val="00CC1AF4"/>
    <w:rsid w:val="00CC300C"/>
    <w:rsid w:val="00CC482B"/>
    <w:rsid w:val="00CC7897"/>
    <w:rsid w:val="00CD16AC"/>
    <w:rsid w:val="00CD26FC"/>
    <w:rsid w:val="00CD26FF"/>
    <w:rsid w:val="00CD2B36"/>
    <w:rsid w:val="00CD3F53"/>
    <w:rsid w:val="00CD4945"/>
    <w:rsid w:val="00CD4CD2"/>
    <w:rsid w:val="00CD4E76"/>
    <w:rsid w:val="00CE0CFA"/>
    <w:rsid w:val="00CE13E1"/>
    <w:rsid w:val="00CE1D2F"/>
    <w:rsid w:val="00CE30BA"/>
    <w:rsid w:val="00CE315E"/>
    <w:rsid w:val="00CE3974"/>
    <w:rsid w:val="00CF1037"/>
    <w:rsid w:val="00CF6170"/>
    <w:rsid w:val="00CF6F4D"/>
    <w:rsid w:val="00CF7F16"/>
    <w:rsid w:val="00CF7FDE"/>
    <w:rsid w:val="00D002D7"/>
    <w:rsid w:val="00D03690"/>
    <w:rsid w:val="00D04E91"/>
    <w:rsid w:val="00D05B65"/>
    <w:rsid w:val="00D06837"/>
    <w:rsid w:val="00D06A7D"/>
    <w:rsid w:val="00D07341"/>
    <w:rsid w:val="00D07B46"/>
    <w:rsid w:val="00D07ED5"/>
    <w:rsid w:val="00D103AC"/>
    <w:rsid w:val="00D11F7C"/>
    <w:rsid w:val="00D12C34"/>
    <w:rsid w:val="00D14241"/>
    <w:rsid w:val="00D16B98"/>
    <w:rsid w:val="00D22BB7"/>
    <w:rsid w:val="00D23457"/>
    <w:rsid w:val="00D26B0C"/>
    <w:rsid w:val="00D3052E"/>
    <w:rsid w:val="00D30ED5"/>
    <w:rsid w:val="00D31090"/>
    <w:rsid w:val="00D31319"/>
    <w:rsid w:val="00D317FC"/>
    <w:rsid w:val="00D31BCE"/>
    <w:rsid w:val="00D32BDC"/>
    <w:rsid w:val="00D3742D"/>
    <w:rsid w:val="00D37538"/>
    <w:rsid w:val="00D4209E"/>
    <w:rsid w:val="00D420CF"/>
    <w:rsid w:val="00D4271A"/>
    <w:rsid w:val="00D43BD0"/>
    <w:rsid w:val="00D440AF"/>
    <w:rsid w:val="00D441AB"/>
    <w:rsid w:val="00D44C98"/>
    <w:rsid w:val="00D45A99"/>
    <w:rsid w:val="00D46193"/>
    <w:rsid w:val="00D46843"/>
    <w:rsid w:val="00D469E2"/>
    <w:rsid w:val="00D46AC3"/>
    <w:rsid w:val="00D46C7E"/>
    <w:rsid w:val="00D47D92"/>
    <w:rsid w:val="00D52ACB"/>
    <w:rsid w:val="00D53151"/>
    <w:rsid w:val="00D53387"/>
    <w:rsid w:val="00D53DA5"/>
    <w:rsid w:val="00D541CA"/>
    <w:rsid w:val="00D54587"/>
    <w:rsid w:val="00D55967"/>
    <w:rsid w:val="00D55FED"/>
    <w:rsid w:val="00D665B8"/>
    <w:rsid w:val="00D66CAD"/>
    <w:rsid w:val="00D67D5E"/>
    <w:rsid w:val="00D728C0"/>
    <w:rsid w:val="00D72ADF"/>
    <w:rsid w:val="00D72D1E"/>
    <w:rsid w:val="00D72DB8"/>
    <w:rsid w:val="00D74A12"/>
    <w:rsid w:val="00D74C47"/>
    <w:rsid w:val="00D802D0"/>
    <w:rsid w:val="00D81E12"/>
    <w:rsid w:val="00D830B4"/>
    <w:rsid w:val="00D84D16"/>
    <w:rsid w:val="00D850B7"/>
    <w:rsid w:val="00D86687"/>
    <w:rsid w:val="00D87CAD"/>
    <w:rsid w:val="00D91A9D"/>
    <w:rsid w:val="00D92D37"/>
    <w:rsid w:val="00D92F57"/>
    <w:rsid w:val="00D92F5C"/>
    <w:rsid w:val="00D95143"/>
    <w:rsid w:val="00D95530"/>
    <w:rsid w:val="00D95BB8"/>
    <w:rsid w:val="00DA038E"/>
    <w:rsid w:val="00DA228C"/>
    <w:rsid w:val="00DA37E0"/>
    <w:rsid w:val="00DA3EA3"/>
    <w:rsid w:val="00DA4CC3"/>
    <w:rsid w:val="00DA4F29"/>
    <w:rsid w:val="00DB02DA"/>
    <w:rsid w:val="00DB134A"/>
    <w:rsid w:val="00DB1D22"/>
    <w:rsid w:val="00DB4411"/>
    <w:rsid w:val="00DB60B4"/>
    <w:rsid w:val="00DB6990"/>
    <w:rsid w:val="00DB6A54"/>
    <w:rsid w:val="00DB77E5"/>
    <w:rsid w:val="00DC187B"/>
    <w:rsid w:val="00DC1936"/>
    <w:rsid w:val="00DC5016"/>
    <w:rsid w:val="00DC656C"/>
    <w:rsid w:val="00DC7048"/>
    <w:rsid w:val="00DD17B2"/>
    <w:rsid w:val="00DD2F16"/>
    <w:rsid w:val="00DD55F8"/>
    <w:rsid w:val="00DD6963"/>
    <w:rsid w:val="00DD6A28"/>
    <w:rsid w:val="00DE03DC"/>
    <w:rsid w:val="00DE0E5F"/>
    <w:rsid w:val="00DE1903"/>
    <w:rsid w:val="00DE55AE"/>
    <w:rsid w:val="00DE595A"/>
    <w:rsid w:val="00DF0729"/>
    <w:rsid w:val="00DF0FF7"/>
    <w:rsid w:val="00DF130B"/>
    <w:rsid w:val="00DF2046"/>
    <w:rsid w:val="00DF4939"/>
    <w:rsid w:val="00DF4C99"/>
    <w:rsid w:val="00DF4E5B"/>
    <w:rsid w:val="00DF53E7"/>
    <w:rsid w:val="00E0030F"/>
    <w:rsid w:val="00E004F7"/>
    <w:rsid w:val="00E0290F"/>
    <w:rsid w:val="00E034C7"/>
    <w:rsid w:val="00E03B11"/>
    <w:rsid w:val="00E106DD"/>
    <w:rsid w:val="00E10F0A"/>
    <w:rsid w:val="00E1389E"/>
    <w:rsid w:val="00E13FE6"/>
    <w:rsid w:val="00E140B0"/>
    <w:rsid w:val="00E1445D"/>
    <w:rsid w:val="00E145A2"/>
    <w:rsid w:val="00E15A40"/>
    <w:rsid w:val="00E2057E"/>
    <w:rsid w:val="00E20751"/>
    <w:rsid w:val="00E234B5"/>
    <w:rsid w:val="00E25078"/>
    <w:rsid w:val="00E2636E"/>
    <w:rsid w:val="00E3021A"/>
    <w:rsid w:val="00E327E8"/>
    <w:rsid w:val="00E33E6B"/>
    <w:rsid w:val="00E3475F"/>
    <w:rsid w:val="00E35306"/>
    <w:rsid w:val="00E35A2B"/>
    <w:rsid w:val="00E36B06"/>
    <w:rsid w:val="00E36C20"/>
    <w:rsid w:val="00E37428"/>
    <w:rsid w:val="00E37D82"/>
    <w:rsid w:val="00E42194"/>
    <w:rsid w:val="00E442D5"/>
    <w:rsid w:val="00E450B4"/>
    <w:rsid w:val="00E45501"/>
    <w:rsid w:val="00E5085A"/>
    <w:rsid w:val="00E50BE7"/>
    <w:rsid w:val="00E520BD"/>
    <w:rsid w:val="00E52C8A"/>
    <w:rsid w:val="00E54B79"/>
    <w:rsid w:val="00E57F8B"/>
    <w:rsid w:val="00E607ED"/>
    <w:rsid w:val="00E60E17"/>
    <w:rsid w:val="00E61FE3"/>
    <w:rsid w:val="00E6229A"/>
    <w:rsid w:val="00E63E5D"/>
    <w:rsid w:val="00E63F5D"/>
    <w:rsid w:val="00E649A0"/>
    <w:rsid w:val="00E650C2"/>
    <w:rsid w:val="00E658DD"/>
    <w:rsid w:val="00E66751"/>
    <w:rsid w:val="00E739B5"/>
    <w:rsid w:val="00E73C03"/>
    <w:rsid w:val="00E747E4"/>
    <w:rsid w:val="00E74CDB"/>
    <w:rsid w:val="00E75577"/>
    <w:rsid w:val="00E756EC"/>
    <w:rsid w:val="00E7626C"/>
    <w:rsid w:val="00E80345"/>
    <w:rsid w:val="00E82501"/>
    <w:rsid w:val="00E844C4"/>
    <w:rsid w:val="00E84AF3"/>
    <w:rsid w:val="00E85FBC"/>
    <w:rsid w:val="00E865A4"/>
    <w:rsid w:val="00E92024"/>
    <w:rsid w:val="00E927AD"/>
    <w:rsid w:val="00E946BE"/>
    <w:rsid w:val="00E955E6"/>
    <w:rsid w:val="00EA1A28"/>
    <w:rsid w:val="00EA265C"/>
    <w:rsid w:val="00EA26D0"/>
    <w:rsid w:val="00EA32F5"/>
    <w:rsid w:val="00EA383B"/>
    <w:rsid w:val="00EA5248"/>
    <w:rsid w:val="00EA5BCF"/>
    <w:rsid w:val="00EA5F1D"/>
    <w:rsid w:val="00EA643D"/>
    <w:rsid w:val="00EA6D18"/>
    <w:rsid w:val="00EB1930"/>
    <w:rsid w:val="00EB2C4C"/>
    <w:rsid w:val="00EB4255"/>
    <w:rsid w:val="00EB4E67"/>
    <w:rsid w:val="00EB5671"/>
    <w:rsid w:val="00EB64A0"/>
    <w:rsid w:val="00EB7D20"/>
    <w:rsid w:val="00EC0139"/>
    <w:rsid w:val="00EC0E1C"/>
    <w:rsid w:val="00EC1503"/>
    <w:rsid w:val="00EC40EF"/>
    <w:rsid w:val="00EC512B"/>
    <w:rsid w:val="00EC73DB"/>
    <w:rsid w:val="00ED0675"/>
    <w:rsid w:val="00ED0E93"/>
    <w:rsid w:val="00ED19CB"/>
    <w:rsid w:val="00ED301C"/>
    <w:rsid w:val="00ED3561"/>
    <w:rsid w:val="00ED5091"/>
    <w:rsid w:val="00ED5B6F"/>
    <w:rsid w:val="00ED5B8C"/>
    <w:rsid w:val="00ED6BBE"/>
    <w:rsid w:val="00ED7B06"/>
    <w:rsid w:val="00ED7FDC"/>
    <w:rsid w:val="00EE095E"/>
    <w:rsid w:val="00EE0B39"/>
    <w:rsid w:val="00EE12CD"/>
    <w:rsid w:val="00EE2E23"/>
    <w:rsid w:val="00EE3AC0"/>
    <w:rsid w:val="00EE3E88"/>
    <w:rsid w:val="00EE5252"/>
    <w:rsid w:val="00EE63D4"/>
    <w:rsid w:val="00EE65B7"/>
    <w:rsid w:val="00EF1102"/>
    <w:rsid w:val="00EF1E20"/>
    <w:rsid w:val="00EF3701"/>
    <w:rsid w:val="00EF3918"/>
    <w:rsid w:val="00EF4CF8"/>
    <w:rsid w:val="00EF6337"/>
    <w:rsid w:val="00EF781C"/>
    <w:rsid w:val="00F007A8"/>
    <w:rsid w:val="00F00BCF"/>
    <w:rsid w:val="00F03431"/>
    <w:rsid w:val="00F053C8"/>
    <w:rsid w:val="00F05C42"/>
    <w:rsid w:val="00F06321"/>
    <w:rsid w:val="00F06532"/>
    <w:rsid w:val="00F06839"/>
    <w:rsid w:val="00F06D35"/>
    <w:rsid w:val="00F07C0F"/>
    <w:rsid w:val="00F10412"/>
    <w:rsid w:val="00F10E4A"/>
    <w:rsid w:val="00F116B6"/>
    <w:rsid w:val="00F122DE"/>
    <w:rsid w:val="00F1275C"/>
    <w:rsid w:val="00F12F81"/>
    <w:rsid w:val="00F1376A"/>
    <w:rsid w:val="00F160CD"/>
    <w:rsid w:val="00F17A1C"/>
    <w:rsid w:val="00F17E9B"/>
    <w:rsid w:val="00F21CC0"/>
    <w:rsid w:val="00F21E2C"/>
    <w:rsid w:val="00F229E4"/>
    <w:rsid w:val="00F24C61"/>
    <w:rsid w:val="00F303C3"/>
    <w:rsid w:val="00F34567"/>
    <w:rsid w:val="00F35223"/>
    <w:rsid w:val="00F3576B"/>
    <w:rsid w:val="00F36BD2"/>
    <w:rsid w:val="00F36E06"/>
    <w:rsid w:val="00F409DF"/>
    <w:rsid w:val="00F4264C"/>
    <w:rsid w:val="00F468D2"/>
    <w:rsid w:val="00F50521"/>
    <w:rsid w:val="00F50AFB"/>
    <w:rsid w:val="00F50F3C"/>
    <w:rsid w:val="00F5123F"/>
    <w:rsid w:val="00F51A1A"/>
    <w:rsid w:val="00F53D6C"/>
    <w:rsid w:val="00F53EF0"/>
    <w:rsid w:val="00F55AA1"/>
    <w:rsid w:val="00F55CCF"/>
    <w:rsid w:val="00F5610B"/>
    <w:rsid w:val="00F57205"/>
    <w:rsid w:val="00F57D02"/>
    <w:rsid w:val="00F6100C"/>
    <w:rsid w:val="00F622BA"/>
    <w:rsid w:val="00F626E5"/>
    <w:rsid w:val="00F6274A"/>
    <w:rsid w:val="00F63195"/>
    <w:rsid w:val="00F63AFB"/>
    <w:rsid w:val="00F6536B"/>
    <w:rsid w:val="00F66FCE"/>
    <w:rsid w:val="00F7012D"/>
    <w:rsid w:val="00F7130A"/>
    <w:rsid w:val="00F71939"/>
    <w:rsid w:val="00F71CD1"/>
    <w:rsid w:val="00F72009"/>
    <w:rsid w:val="00F721E4"/>
    <w:rsid w:val="00F76197"/>
    <w:rsid w:val="00F76349"/>
    <w:rsid w:val="00F76386"/>
    <w:rsid w:val="00F76586"/>
    <w:rsid w:val="00F76883"/>
    <w:rsid w:val="00F85AD2"/>
    <w:rsid w:val="00F868CE"/>
    <w:rsid w:val="00F878EB"/>
    <w:rsid w:val="00F904FD"/>
    <w:rsid w:val="00F91F49"/>
    <w:rsid w:val="00F91F59"/>
    <w:rsid w:val="00F91FBC"/>
    <w:rsid w:val="00F942F1"/>
    <w:rsid w:val="00F943A0"/>
    <w:rsid w:val="00F945F0"/>
    <w:rsid w:val="00F94609"/>
    <w:rsid w:val="00F94C9F"/>
    <w:rsid w:val="00F9549B"/>
    <w:rsid w:val="00F96843"/>
    <w:rsid w:val="00F97CD2"/>
    <w:rsid w:val="00FA03C0"/>
    <w:rsid w:val="00FA1DDD"/>
    <w:rsid w:val="00FA2E3C"/>
    <w:rsid w:val="00FA539B"/>
    <w:rsid w:val="00FA6393"/>
    <w:rsid w:val="00FA7D95"/>
    <w:rsid w:val="00FB57AB"/>
    <w:rsid w:val="00FC22ED"/>
    <w:rsid w:val="00FC32D1"/>
    <w:rsid w:val="00FC39E3"/>
    <w:rsid w:val="00FC6816"/>
    <w:rsid w:val="00FC79AD"/>
    <w:rsid w:val="00FD12FD"/>
    <w:rsid w:val="00FD1DCD"/>
    <w:rsid w:val="00FD24E3"/>
    <w:rsid w:val="00FD2F1F"/>
    <w:rsid w:val="00FD3BCA"/>
    <w:rsid w:val="00FD44A8"/>
    <w:rsid w:val="00FD54E4"/>
    <w:rsid w:val="00FD5A33"/>
    <w:rsid w:val="00FD6C1B"/>
    <w:rsid w:val="00FD6C35"/>
    <w:rsid w:val="00FE051A"/>
    <w:rsid w:val="00FE0FFE"/>
    <w:rsid w:val="00FE173A"/>
    <w:rsid w:val="00FE2977"/>
    <w:rsid w:val="00FE2D39"/>
    <w:rsid w:val="00FE45DB"/>
    <w:rsid w:val="00FE4B20"/>
    <w:rsid w:val="00FE5F15"/>
    <w:rsid w:val="00FE7553"/>
    <w:rsid w:val="00FF06CE"/>
    <w:rsid w:val="00FF083D"/>
    <w:rsid w:val="00FF0BA3"/>
    <w:rsid w:val="00FF1260"/>
    <w:rsid w:val="00FF1CD0"/>
    <w:rsid w:val="00FF501D"/>
    <w:rsid w:val="00FF50BA"/>
    <w:rsid w:val="00FF5674"/>
    <w:rsid w:val="00FF57BA"/>
    <w:rsid w:val="010B1D2C"/>
    <w:rsid w:val="010C5F7B"/>
    <w:rsid w:val="012D3CDA"/>
    <w:rsid w:val="014C2747"/>
    <w:rsid w:val="014D5C7D"/>
    <w:rsid w:val="01B52A6F"/>
    <w:rsid w:val="01C162AD"/>
    <w:rsid w:val="01CA434E"/>
    <w:rsid w:val="01D3572A"/>
    <w:rsid w:val="01E20258"/>
    <w:rsid w:val="02003E55"/>
    <w:rsid w:val="0215534D"/>
    <w:rsid w:val="029623CB"/>
    <w:rsid w:val="02980489"/>
    <w:rsid w:val="02B875CF"/>
    <w:rsid w:val="02BC7C10"/>
    <w:rsid w:val="02D74069"/>
    <w:rsid w:val="02EC392F"/>
    <w:rsid w:val="02F05574"/>
    <w:rsid w:val="02F12658"/>
    <w:rsid w:val="02F901E5"/>
    <w:rsid w:val="03226EB4"/>
    <w:rsid w:val="033D32D2"/>
    <w:rsid w:val="0390373F"/>
    <w:rsid w:val="0393648A"/>
    <w:rsid w:val="039C61CA"/>
    <w:rsid w:val="03B92498"/>
    <w:rsid w:val="03C4172E"/>
    <w:rsid w:val="03E44CAA"/>
    <w:rsid w:val="03F41787"/>
    <w:rsid w:val="03FD25FB"/>
    <w:rsid w:val="042772C7"/>
    <w:rsid w:val="045E7D5A"/>
    <w:rsid w:val="046B2796"/>
    <w:rsid w:val="04931861"/>
    <w:rsid w:val="04AC73B1"/>
    <w:rsid w:val="04B77744"/>
    <w:rsid w:val="04CC150C"/>
    <w:rsid w:val="04F62669"/>
    <w:rsid w:val="052B574E"/>
    <w:rsid w:val="05342141"/>
    <w:rsid w:val="0575659C"/>
    <w:rsid w:val="05C27754"/>
    <w:rsid w:val="05CF26D4"/>
    <w:rsid w:val="05D25E60"/>
    <w:rsid w:val="0606186D"/>
    <w:rsid w:val="06473811"/>
    <w:rsid w:val="06527DBA"/>
    <w:rsid w:val="0667365B"/>
    <w:rsid w:val="067A17E1"/>
    <w:rsid w:val="0684292E"/>
    <w:rsid w:val="06D74946"/>
    <w:rsid w:val="06DC5982"/>
    <w:rsid w:val="06EB0185"/>
    <w:rsid w:val="07025304"/>
    <w:rsid w:val="070B0A48"/>
    <w:rsid w:val="07174D4F"/>
    <w:rsid w:val="0734374C"/>
    <w:rsid w:val="073852D8"/>
    <w:rsid w:val="074A2ED6"/>
    <w:rsid w:val="076D0E2C"/>
    <w:rsid w:val="0771341F"/>
    <w:rsid w:val="07750D34"/>
    <w:rsid w:val="07833F64"/>
    <w:rsid w:val="078569B6"/>
    <w:rsid w:val="07A30C59"/>
    <w:rsid w:val="07AB2583"/>
    <w:rsid w:val="07BE4FBB"/>
    <w:rsid w:val="07DB1030"/>
    <w:rsid w:val="07DB1524"/>
    <w:rsid w:val="07E61381"/>
    <w:rsid w:val="08016292"/>
    <w:rsid w:val="080C184F"/>
    <w:rsid w:val="083D2298"/>
    <w:rsid w:val="08B518D6"/>
    <w:rsid w:val="08CD3CC0"/>
    <w:rsid w:val="08D70E40"/>
    <w:rsid w:val="08DE1545"/>
    <w:rsid w:val="08DE24CD"/>
    <w:rsid w:val="08DE395E"/>
    <w:rsid w:val="09133216"/>
    <w:rsid w:val="091A3D79"/>
    <w:rsid w:val="093351EE"/>
    <w:rsid w:val="098A17E3"/>
    <w:rsid w:val="099064A9"/>
    <w:rsid w:val="09A14508"/>
    <w:rsid w:val="09AB03F5"/>
    <w:rsid w:val="09B80E41"/>
    <w:rsid w:val="09D776B5"/>
    <w:rsid w:val="09D80FFC"/>
    <w:rsid w:val="09F760EC"/>
    <w:rsid w:val="0A130656"/>
    <w:rsid w:val="0A1471AD"/>
    <w:rsid w:val="0A2D5F54"/>
    <w:rsid w:val="0A426C9A"/>
    <w:rsid w:val="0A450099"/>
    <w:rsid w:val="0A5571ED"/>
    <w:rsid w:val="0A7233A3"/>
    <w:rsid w:val="0AC87E23"/>
    <w:rsid w:val="0AEC7F8B"/>
    <w:rsid w:val="0AFA4869"/>
    <w:rsid w:val="0B0A3076"/>
    <w:rsid w:val="0B1F3459"/>
    <w:rsid w:val="0B251118"/>
    <w:rsid w:val="0B2B55D7"/>
    <w:rsid w:val="0B3C4225"/>
    <w:rsid w:val="0B3E35DC"/>
    <w:rsid w:val="0B42077A"/>
    <w:rsid w:val="0B464B74"/>
    <w:rsid w:val="0B545EB1"/>
    <w:rsid w:val="0B5F4977"/>
    <w:rsid w:val="0B6E4055"/>
    <w:rsid w:val="0B755FF8"/>
    <w:rsid w:val="0B807D4F"/>
    <w:rsid w:val="0B831100"/>
    <w:rsid w:val="0B9E01D5"/>
    <w:rsid w:val="0BA05EAE"/>
    <w:rsid w:val="0BB07B6C"/>
    <w:rsid w:val="0BBD3821"/>
    <w:rsid w:val="0BDB03B3"/>
    <w:rsid w:val="0BE31839"/>
    <w:rsid w:val="0C2D7526"/>
    <w:rsid w:val="0C5642F4"/>
    <w:rsid w:val="0C6013A4"/>
    <w:rsid w:val="0C780423"/>
    <w:rsid w:val="0C87502A"/>
    <w:rsid w:val="0C98367C"/>
    <w:rsid w:val="0CA325B4"/>
    <w:rsid w:val="0CA9588A"/>
    <w:rsid w:val="0CD10317"/>
    <w:rsid w:val="0CD97326"/>
    <w:rsid w:val="0CF62745"/>
    <w:rsid w:val="0CF70CC6"/>
    <w:rsid w:val="0D06189F"/>
    <w:rsid w:val="0D116FD3"/>
    <w:rsid w:val="0D192CC1"/>
    <w:rsid w:val="0D242149"/>
    <w:rsid w:val="0D326F3A"/>
    <w:rsid w:val="0D571DDA"/>
    <w:rsid w:val="0D7B54DC"/>
    <w:rsid w:val="0D822176"/>
    <w:rsid w:val="0DAC4363"/>
    <w:rsid w:val="0DCF1ACD"/>
    <w:rsid w:val="0DDB7871"/>
    <w:rsid w:val="0DDD04E1"/>
    <w:rsid w:val="0E0760E7"/>
    <w:rsid w:val="0E2D6C81"/>
    <w:rsid w:val="0E5020E8"/>
    <w:rsid w:val="0E706C4A"/>
    <w:rsid w:val="0E910B1C"/>
    <w:rsid w:val="0ED554F5"/>
    <w:rsid w:val="0EE062E5"/>
    <w:rsid w:val="0EEB3E04"/>
    <w:rsid w:val="0EED366B"/>
    <w:rsid w:val="0F003B8B"/>
    <w:rsid w:val="0F28336D"/>
    <w:rsid w:val="0F3378C4"/>
    <w:rsid w:val="0F384047"/>
    <w:rsid w:val="0F4C70CC"/>
    <w:rsid w:val="0F854DDC"/>
    <w:rsid w:val="0FA05D9F"/>
    <w:rsid w:val="0FC42A78"/>
    <w:rsid w:val="0FDA69F0"/>
    <w:rsid w:val="0FE7191D"/>
    <w:rsid w:val="0FFB41E0"/>
    <w:rsid w:val="102734EB"/>
    <w:rsid w:val="103C44C8"/>
    <w:rsid w:val="106672FA"/>
    <w:rsid w:val="10693B4B"/>
    <w:rsid w:val="106A2C97"/>
    <w:rsid w:val="10A60C94"/>
    <w:rsid w:val="10A81829"/>
    <w:rsid w:val="10C97C20"/>
    <w:rsid w:val="10CD61D6"/>
    <w:rsid w:val="10F650B5"/>
    <w:rsid w:val="10FD53DB"/>
    <w:rsid w:val="11132C20"/>
    <w:rsid w:val="11314294"/>
    <w:rsid w:val="113A3713"/>
    <w:rsid w:val="115069A7"/>
    <w:rsid w:val="1167366D"/>
    <w:rsid w:val="11A02893"/>
    <w:rsid w:val="11AF655D"/>
    <w:rsid w:val="11B65239"/>
    <w:rsid w:val="11BE0BF3"/>
    <w:rsid w:val="11DD479A"/>
    <w:rsid w:val="120B7028"/>
    <w:rsid w:val="1230718C"/>
    <w:rsid w:val="12312718"/>
    <w:rsid w:val="124A0998"/>
    <w:rsid w:val="124C0273"/>
    <w:rsid w:val="125244CB"/>
    <w:rsid w:val="12684AE9"/>
    <w:rsid w:val="129B4A1C"/>
    <w:rsid w:val="12B60270"/>
    <w:rsid w:val="12B92821"/>
    <w:rsid w:val="12C6493A"/>
    <w:rsid w:val="12CD4126"/>
    <w:rsid w:val="12DC609C"/>
    <w:rsid w:val="12EF488B"/>
    <w:rsid w:val="12F83A28"/>
    <w:rsid w:val="131F6AC9"/>
    <w:rsid w:val="132004D1"/>
    <w:rsid w:val="132660F9"/>
    <w:rsid w:val="1333165B"/>
    <w:rsid w:val="133C4234"/>
    <w:rsid w:val="134B608D"/>
    <w:rsid w:val="13572E3C"/>
    <w:rsid w:val="135D36DF"/>
    <w:rsid w:val="13674C4A"/>
    <w:rsid w:val="13762748"/>
    <w:rsid w:val="13BD4B56"/>
    <w:rsid w:val="13C72A5B"/>
    <w:rsid w:val="13D51C33"/>
    <w:rsid w:val="141C1384"/>
    <w:rsid w:val="142571A6"/>
    <w:rsid w:val="14397630"/>
    <w:rsid w:val="145735C3"/>
    <w:rsid w:val="14623C4C"/>
    <w:rsid w:val="14661165"/>
    <w:rsid w:val="1484020F"/>
    <w:rsid w:val="14D42C8D"/>
    <w:rsid w:val="14D71716"/>
    <w:rsid w:val="14E52624"/>
    <w:rsid w:val="14EF162D"/>
    <w:rsid w:val="151670A7"/>
    <w:rsid w:val="15257B08"/>
    <w:rsid w:val="15261D3D"/>
    <w:rsid w:val="1527507E"/>
    <w:rsid w:val="155762D6"/>
    <w:rsid w:val="156B2511"/>
    <w:rsid w:val="158B2D30"/>
    <w:rsid w:val="159E15CB"/>
    <w:rsid w:val="15A157DE"/>
    <w:rsid w:val="15FF53D5"/>
    <w:rsid w:val="16207332"/>
    <w:rsid w:val="16332AE4"/>
    <w:rsid w:val="164E2D5E"/>
    <w:rsid w:val="16582B45"/>
    <w:rsid w:val="165F191E"/>
    <w:rsid w:val="166535DE"/>
    <w:rsid w:val="16682F08"/>
    <w:rsid w:val="166B0F1A"/>
    <w:rsid w:val="16814FFD"/>
    <w:rsid w:val="16BC65E9"/>
    <w:rsid w:val="16C579D8"/>
    <w:rsid w:val="16D90BB8"/>
    <w:rsid w:val="16D960DD"/>
    <w:rsid w:val="16F151EF"/>
    <w:rsid w:val="16F541DC"/>
    <w:rsid w:val="171205B3"/>
    <w:rsid w:val="17192BEA"/>
    <w:rsid w:val="1731494A"/>
    <w:rsid w:val="174D3123"/>
    <w:rsid w:val="17500407"/>
    <w:rsid w:val="17666474"/>
    <w:rsid w:val="176A5ABA"/>
    <w:rsid w:val="177C3DBD"/>
    <w:rsid w:val="17865BB2"/>
    <w:rsid w:val="17A96A76"/>
    <w:rsid w:val="17B12FBA"/>
    <w:rsid w:val="17B77ED8"/>
    <w:rsid w:val="17BF3F76"/>
    <w:rsid w:val="17BF4C8F"/>
    <w:rsid w:val="17C560B3"/>
    <w:rsid w:val="18004C8F"/>
    <w:rsid w:val="184A48C1"/>
    <w:rsid w:val="185C3BF5"/>
    <w:rsid w:val="187977C8"/>
    <w:rsid w:val="188F317E"/>
    <w:rsid w:val="18935118"/>
    <w:rsid w:val="189C20E5"/>
    <w:rsid w:val="18CC515B"/>
    <w:rsid w:val="18D463DB"/>
    <w:rsid w:val="18EA74D8"/>
    <w:rsid w:val="18F601FE"/>
    <w:rsid w:val="192776C0"/>
    <w:rsid w:val="193B4680"/>
    <w:rsid w:val="193D556F"/>
    <w:rsid w:val="198541E0"/>
    <w:rsid w:val="19932D33"/>
    <w:rsid w:val="19985FB2"/>
    <w:rsid w:val="19A06AD6"/>
    <w:rsid w:val="19AE1411"/>
    <w:rsid w:val="19AF68E4"/>
    <w:rsid w:val="19B41F56"/>
    <w:rsid w:val="19C3280C"/>
    <w:rsid w:val="19CD0763"/>
    <w:rsid w:val="19DF712C"/>
    <w:rsid w:val="19EC7BC6"/>
    <w:rsid w:val="19ED6BB2"/>
    <w:rsid w:val="1A276389"/>
    <w:rsid w:val="1A2C745A"/>
    <w:rsid w:val="1A2E392D"/>
    <w:rsid w:val="1A3A13C5"/>
    <w:rsid w:val="1A3D7996"/>
    <w:rsid w:val="1A437039"/>
    <w:rsid w:val="1A55063B"/>
    <w:rsid w:val="1A9206B0"/>
    <w:rsid w:val="1A924819"/>
    <w:rsid w:val="1A9F16C8"/>
    <w:rsid w:val="1AA06CB0"/>
    <w:rsid w:val="1ABF6B1B"/>
    <w:rsid w:val="1ADD7EF6"/>
    <w:rsid w:val="1AE2463B"/>
    <w:rsid w:val="1AFD6878"/>
    <w:rsid w:val="1B0815F3"/>
    <w:rsid w:val="1B11490A"/>
    <w:rsid w:val="1B2D5A44"/>
    <w:rsid w:val="1B383B40"/>
    <w:rsid w:val="1B4300BE"/>
    <w:rsid w:val="1B7156DA"/>
    <w:rsid w:val="1B9C788F"/>
    <w:rsid w:val="1BA7652C"/>
    <w:rsid w:val="1BC8370F"/>
    <w:rsid w:val="1BCC5A8B"/>
    <w:rsid w:val="1BCD578F"/>
    <w:rsid w:val="1BE82725"/>
    <w:rsid w:val="1BF46A14"/>
    <w:rsid w:val="1BFB289B"/>
    <w:rsid w:val="1C236EA5"/>
    <w:rsid w:val="1C3244A1"/>
    <w:rsid w:val="1C723F09"/>
    <w:rsid w:val="1C924992"/>
    <w:rsid w:val="1C9752A6"/>
    <w:rsid w:val="1C9C3A68"/>
    <w:rsid w:val="1CAB3C26"/>
    <w:rsid w:val="1CD02A15"/>
    <w:rsid w:val="1CD638CC"/>
    <w:rsid w:val="1CD71795"/>
    <w:rsid w:val="1CE219D2"/>
    <w:rsid w:val="1CF74E5B"/>
    <w:rsid w:val="1D041ACD"/>
    <w:rsid w:val="1D350DB9"/>
    <w:rsid w:val="1D88402A"/>
    <w:rsid w:val="1D891736"/>
    <w:rsid w:val="1D9D3B8C"/>
    <w:rsid w:val="1DE70870"/>
    <w:rsid w:val="1E2E440E"/>
    <w:rsid w:val="1E356518"/>
    <w:rsid w:val="1E550C53"/>
    <w:rsid w:val="1E884CE0"/>
    <w:rsid w:val="1E8E5091"/>
    <w:rsid w:val="1EC46AB7"/>
    <w:rsid w:val="1ED73F02"/>
    <w:rsid w:val="1F327ABA"/>
    <w:rsid w:val="1F3B793D"/>
    <w:rsid w:val="1F523DEA"/>
    <w:rsid w:val="1F5771F3"/>
    <w:rsid w:val="1F8055DC"/>
    <w:rsid w:val="1F86762C"/>
    <w:rsid w:val="1F943FC3"/>
    <w:rsid w:val="1F995309"/>
    <w:rsid w:val="1F9B4972"/>
    <w:rsid w:val="1FB07612"/>
    <w:rsid w:val="1FBF781D"/>
    <w:rsid w:val="1FDC61B4"/>
    <w:rsid w:val="1FDC7AC5"/>
    <w:rsid w:val="1FDE21B6"/>
    <w:rsid w:val="1FE10383"/>
    <w:rsid w:val="1FE305B7"/>
    <w:rsid w:val="200F487A"/>
    <w:rsid w:val="201322CE"/>
    <w:rsid w:val="201435D0"/>
    <w:rsid w:val="20336CB5"/>
    <w:rsid w:val="204F6378"/>
    <w:rsid w:val="205C444E"/>
    <w:rsid w:val="207C23CC"/>
    <w:rsid w:val="207E07A6"/>
    <w:rsid w:val="20A02130"/>
    <w:rsid w:val="20BE42BE"/>
    <w:rsid w:val="20BF7231"/>
    <w:rsid w:val="20E60CFF"/>
    <w:rsid w:val="20F83933"/>
    <w:rsid w:val="211661D0"/>
    <w:rsid w:val="21345FEF"/>
    <w:rsid w:val="214D43DE"/>
    <w:rsid w:val="216100BA"/>
    <w:rsid w:val="21A96F32"/>
    <w:rsid w:val="21BD350A"/>
    <w:rsid w:val="21C37219"/>
    <w:rsid w:val="2227458F"/>
    <w:rsid w:val="224213DD"/>
    <w:rsid w:val="224479AE"/>
    <w:rsid w:val="22677C2E"/>
    <w:rsid w:val="226B0522"/>
    <w:rsid w:val="228B33EE"/>
    <w:rsid w:val="228F6B6A"/>
    <w:rsid w:val="22AE4DA5"/>
    <w:rsid w:val="22B4649D"/>
    <w:rsid w:val="23094254"/>
    <w:rsid w:val="23173D06"/>
    <w:rsid w:val="23377209"/>
    <w:rsid w:val="23383B6E"/>
    <w:rsid w:val="23384269"/>
    <w:rsid w:val="233B071D"/>
    <w:rsid w:val="234731C4"/>
    <w:rsid w:val="235A6115"/>
    <w:rsid w:val="236F4159"/>
    <w:rsid w:val="236F463D"/>
    <w:rsid w:val="2374248E"/>
    <w:rsid w:val="23865C59"/>
    <w:rsid w:val="238D6930"/>
    <w:rsid w:val="23A60EEE"/>
    <w:rsid w:val="23D5400A"/>
    <w:rsid w:val="23EA124E"/>
    <w:rsid w:val="240C3075"/>
    <w:rsid w:val="240F24FF"/>
    <w:rsid w:val="24195D37"/>
    <w:rsid w:val="244601D7"/>
    <w:rsid w:val="24504B7C"/>
    <w:rsid w:val="24522DC6"/>
    <w:rsid w:val="2453469F"/>
    <w:rsid w:val="245C4D89"/>
    <w:rsid w:val="24716BA7"/>
    <w:rsid w:val="24AC54FC"/>
    <w:rsid w:val="24BA41F9"/>
    <w:rsid w:val="24DE18AA"/>
    <w:rsid w:val="24F03B49"/>
    <w:rsid w:val="25071495"/>
    <w:rsid w:val="25093EFB"/>
    <w:rsid w:val="25137AA7"/>
    <w:rsid w:val="25233101"/>
    <w:rsid w:val="252B6A24"/>
    <w:rsid w:val="253D39E9"/>
    <w:rsid w:val="2552272E"/>
    <w:rsid w:val="255831F7"/>
    <w:rsid w:val="25661640"/>
    <w:rsid w:val="256C22D8"/>
    <w:rsid w:val="256C31D1"/>
    <w:rsid w:val="25827CDA"/>
    <w:rsid w:val="258E5241"/>
    <w:rsid w:val="25C558A2"/>
    <w:rsid w:val="25D42280"/>
    <w:rsid w:val="25D8782D"/>
    <w:rsid w:val="25E030C6"/>
    <w:rsid w:val="261E3EB6"/>
    <w:rsid w:val="26380260"/>
    <w:rsid w:val="26556D05"/>
    <w:rsid w:val="265D0108"/>
    <w:rsid w:val="268274F0"/>
    <w:rsid w:val="26922AE4"/>
    <w:rsid w:val="26AC5DCC"/>
    <w:rsid w:val="26B12CD7"/>
    <w:rsid w:val="26E15319"/>
    <w:rsid w:val="27187837"/>
    <w:rsid w:val="272B20FD"/>
    <w:rsid w:val="27431B05"/>
    <w:rsid w:val="27643220"/>
    <w:rsid w:val="27672590"/>
    <w:rsid w:val="277D4048"/>
    <w:rsid w:val="277D4F52"/>
    <w:rsid w:val="27AC2A89"/>
    <w:rsid w:val="27C61F45"/>
    <w:rsid w:val="27F075CC"/>
    <w:rsid w:val="284117EC"/>
    <w:rsid w:val="284E40D5"/>
    <w:rsid w:val="28704BA5"/>
    <w:rsid w:val="287939E6"/>
    <w:rsid w:val="28992314"/>
    <w:rsid w:val="289C6ACC"/>
    <w:rsid w:val="28A77EDC"/>
    <w:rsid w:val="28B820A8"/>
    <w:rsid w:val="28FC5481"/>
    <w:rsid w:val="29382CA5"/>
    <w:rsid w:val="294A2363"/>
    <w:rsid w:val="29B037A6"/>
    <w:rsid w:val="29B3299E"/>
    <w:rsid w:val="29B862AE"/>
    <w:rsid w:val="29D443DD"/>
    <w:rsid w:val="29D97B9D"/>
    <w:rsid w:val="29EA6BFB"/>
    <w:rsid w:val="29EC30AB"/>
    <w:rsid w:val="29FC0CC0"/>
    <w:rsid w:val="2A0A179B"/>
    <w:rsid w:val="2A394651"/>
    <w:rsid w:val="2A4D10B6"/>
    <w:rsid w:val="2A543637"/>
    <w:rsid w:val="2A707B69"/>
    <w:rsid w:val="2A84223A"/>
    <w:rsid w:val="2A8A06C9"/>
    <w:rsid w:val="2A9B4B45"/>
    <w:rsid w:val="2AC22E44"/>
    <w:rsid w:val="2B1C4C1E"/>
    <w:rsid w:val="2B1F3F1D"/>
    <w:rsid w:val="2B2E46C9"/>
    <w:rsid w:val="2B2F6315"/>
    <w:rsid w:val="2B3161D2"/>
    <w:rsid w:val="2B45423B"/>
    <w:rsid w:val="2B5459A3"/>
    <w:rsid w:val="2B8E6C42"/>
    <w:rsid w:val="2BAD6A53"/>
    <w:rsid w:val="2BC26C07"/>
    <w:rsid w:val="2BD53674"/>
    <w:rsid w:val="2BD779EA"/>
    <w:rsid w:val="2C031BBF"/>
    <w:rsid w:val="2C0D5783"/>
    <w:rsid w:val="2C1B7CBE"/>
    <w:rsid w:val="2C354CEF"/>
    <w:rsid w:val="2C5212A0"/>
    <w:rsid w:val="2C7D6A36"/>
    <w:rsid w:val="2CA44070"/>
    <w:rsid w:val="2CDA7C49"/>
    <w:rsid w:val="2CE83E47"/>
    <w:rsid w:val="2CF0236F"/>
    <w:rsid w:val="2CF219E1"/>
    <w:rsid w:val="2D041A06"/>
    <w:rsid w:val="2D151F0D"/>
    <w:rsid w:val="2D3330B2"/>
    <w:rsid w:val="2D4E0838"/>
    <w:rsid w:val="2D5914E4"/>
    <w:rsid w:val="2D5C0DA2"/>
    <w:rsid w:val="2D620232"/>
    <w:rsid w:val="2D79635A"/>
    <w:rsid w:val="2DA142F2"/>
    <w:rsid w:val="2DD05C54"/>
    <w:rsid w:val="2DD4405C"/>
    <w:rsid w:val="2DE86B41"/>
    <w:rsid w:val="2E111208"/>
    <w:rsid w:val="2E1D0E76"/>
    <w:rsid w:val="2E2744E3"/>
    <w:rsid w:val="2E2A2CF8"/>
    <w:rsid w:val="2E3C01BA"/>
    <w:rsid w:val="2E7743AA"/>
    <w:rsid w:val="2EAB6B3C"/>
    <w:rsid w:val="2EAD0B6E"/>
    <w:rsid w:val="2EC42A42"/>
    <w:rsid w:val="2ECE007F"/>
    <w:rsid w:val="2ED94189"/>
    <w:rsid w:val="2F144711"/>
    <w:rsid w:val="2F1D4D54"/>
    <w:rsid w:val="2F2C0AC9"/>
    <w:rsid w:val="2F2F7D84"/>
    <w:rsid w:val="2F445F61"/>
    <w:rsid w:val="2F4643A6"/>
    <w:rsid w:val="2F4B2920"/>
    <w:rsid w:val="2F5010F7"/>
    <w:rsid w:val="2F6C0702"/>
    <w:rsid w:val="2FA2682E"/>
    <w:rsid w:val="2FAE4BBF"/>
    <w:rsid w:val="2FB44DAD"/>
    <w:rsid w:val="2FB929E4"/>
    <w:rsid w:val="2FE44BD1"/>
    <w:rsid w:val="2FFD5D25"/>
    <w:rsid w:val="301D1EBD"/>
    <w:rsid w:val="30343D1D"/>
    <w:rsid w:val="308A68E0"/>
    <w:rsid w:val="30CA3964"/>
    <w:rsid w:val="30E97B74"/>
    <w:rsid w:val="310B4A1A"/>
    <w:rsid w:val="31105B97"/>
    <w:rsid w:val="31286E42"/>
    <w:rsid w:val="314547DF"/>
    <w:rsid w:val="31616C47"/>
    <w:rsid w:val="31786C93"/>
    <w:rsid w:val="317E3656"/>
    <w:rsid w:val="318868A1"/>
    <w:rsid w:val="31AD0693"/>
    <w:rsid w:val="31BB1D5D"/>
    <w:rsid w:val="31E539A4"/>
    <w:rsid w:val="31E65E8F"/>
    <w:rsid w:val="320460EB"/>
    <w:rsid w:val="322D224A"/>
    <w:rsid w:val="32334B22"/>
    <w:rsid w:val="327933E0"/>
    <w:rsid w:val="328D5406"/>
    <w:rsid w:val="32944245"/>
    <w:rsid w:val="32984CE7"/>
    <w:rsid w:val="329858DB"/>
    <w:rsid w:val="329C76FF"/>
    <w:rsid w:val="329D31BF"/>
    <w:rsid w:val="32A52B7B"/>
    <w:rsid w:val="32D17E6E"/>
    <w:rsid w:val="32EA776C"/>
    <w:rsid w:val="32F55C47"/>
    <w:rsid w:val="32FD5713"/>
    <w:rsid w:val="33167281"/>
    <w:rsid w:val="332070BC"/>
    <w:rsid w:val="3323277D"/>
    <w:rsid w:val="3327098C"/>
    <w:rsid w:val="335317D2"/>
    <w:rsid w:val="337036D0"/>
    <w:rsid w:val="3381002D"/>
    <w:rsid w:val="33897EC5"/>
    <w:rsid w:val="338C6534"/>
    <w:rsid w:val="33A10AD1"/>
    <w:rsid w:val="33A86209"/>
    <w:rsid w:val="33AF1150"/>
    <w:rsid w:val="33B75806"/>
    <w:rsid w:val="33B76417"/>
    <w:rsid w:val="33D4339B"/>
    <w:rsid w:val="33EC578E"/>
    <w:rsid w:val="33FE51EF"/>
    <w:rsid w:val="341930B4"/>
    <w:rsid w:val="342B2FA1"/>
    <w:rsid w:val="343D2439"/>
    <w:rsid w:val="343F33E6"/>
    <w:rsid w:val="3455699E"/>
    <w:rsid w:val="34717A78"/>
    <w:rsid w:val="348A2F11"/>
    <w:rsid w:val="34C92A1E"/>
    <w:rsid w:val="34C9438B"/>
    <w:rsid w:val="34D50E21"/>
    <w:rsid w:val="34DD700C"/>
    <w:rsid w:val="34F30AC5"/>
    <w:rsid w:val="35302633"/>
    <w:rsid w:val="354D6464"/>
    <w:rsid w:val="355F7EFA"/>
    <w:rsid w:val="356C05B9"/>
    <w:rsid w:val="357340BA"/>
    <w:rsid w:val="357B4886"/>
    <w:rsid w:val="359C0654"/>
    <w:rsid w:val="35A13CDE"/>
    <w:rsid w:val="35AC71F8"/>
    <w:rsid w:val="35CC00D2"/>
    <w:rsid w:val="35DC009F"/>
    <w:rsid w:val="35EA1B38"/>
    <w:rsid w:val="35F078A6"/>
    <w:rsid w:val="35FF466C"/>
    <w:rsid w:val="36116212"/>
    <w:rsid w:val="36162B17"/>
    <w:rsid w:val="361E5A94"/>
    <w:rsid w:val="36282713"/>
    <w:rsid w:val="3628466A"/>
    <w:rsid w:val="363545CF"/>
    <w:rsid w:val="364E3F43"/>
    <w:rsid w:val="36AA7E81"/>
    <w:rsid w:val="36AB5A78"/>
    <w:rsid w:val="36BB418C"/>
    <w:rsid w:val="36BC6F9B"/>
    <w:rsid w:val="36C9650A"/>
    <w:rsid w:val="37075E9F"/>
    <w:rsid w:val="37261342"/>
    <w:rsid w:val="3728520B"/>
    <w:rsid w:val="372D0401"/>
    <w:rsid w:val="37322C90"/>
    <w:rsid w:val="373461AC"/>
    <w:rsid w:val="374C35DC"/>
    <w:rsid w:val="37637FD8"/>
    <w:rsid w:val="377F4883"/>
    <w:rsid w:val="378F586B"/>
    <w:rsid w:val="37BA411D"/>
    <w:rsid w:val="37BB34E2"/>
    <w:rsid w:val="37C230CC"/>
    <w:rsid w:val="37C3226D"/>
    <w:rsid w:val="37ED781B"/>
    <w:rsid w:val="37FF6D97"/>
    <w:rsid w:val="380F730A"/>
    <w:rsid w:val="383A0F13"/>
    <w:rsid w:val="384F290F"/>
    <w:rsid w:val="38572F50"/>
    <w:rsid w:val="38647FE7"/>
    <w:rsid w:val="387A61B1"/>
    <w:rsid w:val="38916BD5"/>
    <w:rsid w:val="38991974"/>
    <w:rsid w:val="38BF7CD3"/>
    <w:rsid w:val="38CF183A"/>
    <w:rsid w:val="38D46FFF"/>
    <w:rsid w:val="38E0783D"/>
    <w:rsid w:val="38E2276A"/>
    <w:rsid w:val="38E74F32"/>
    <w:rsid w:val="39335C97"/>
    <w:rsid w:val="39354536"/>
    <w:rsid w:val="395A2E45"/>
    <w:rsid w:val="398C7078"/>
    <w:rsid w:val="399A5F1A"/>
    <w:rsid w:val="39AA108F"/>
    <w:rsid w:val="39B05A3B"/>
    <w:rsid w:val="39E0110A"/>
    <w:rsid w:val="39F679A4"/>
    <w:rsid w:val="39FD4DE8"/>
    <w:rsid w:val="3A024E35"/>
    <w:rsid w:val="3A0D196F"/>
    <w:rsid w:val="3A2068F0"/>
    <w:rsid w:val="3A240ABF"/>
    <w:rsid w:val="3A627D66"/>
    <w:rsid w:val="3AAB6A96"/>
    <w:rsid w:val="3AAC0068"/>
    <w:rsid w:val="3AE1653F"/>
    <w:rsid w:val="3B082E73"/>
    <w:rsid w:val="3B274F43"/>
    <w:rsid w:val="3B2C1EFE"/>
    <w:rsid w:val="3B6177C1"/>
    <w:rsid w:val="3B745779"/>
    <w:rsid w:val="3B766DCC"/>
    <w:rsid w:val="3B830754"/>
    <w:rsid w:val="3BBE6B19"/>
    <w:rsid w:val="3BC76027"/>
    <w:rsid w:val="3BFA3744"/>
    <w:rsid w:val="3C2224BB"/>
    <w:rsid w:val="3C4A3EE5"/>
    <w:rsid w:val="3C5075ED"/>
    <w:rsid w:val="3C5621F8"/>
    <w:rsid w:val="3C750FA6"/>
    <w:rsid w:val="3C87010C"/>
    <w:rsid w:val="3C9C7AA9"/>
    <w:rsid w:val="3CA25C51"/>
    <w:rsid w:val="3CA45AA1"/>
    <w:rsid w:val="3CA60077"/>
    <w:rsid w:val="3CAE2E92"/>
    <w:rsid w:val="3CB14CB6"/>
    <w:rsid w:val="3CB272C5"/>
    <w:rsid w:val="3CC009C4"/>
    <w:rsid w:val="3CD111B6"/>
    <w:rsid w:val="3CEC11AB"/>
    <w:rsid w:val="3D2924EF"/>
    <w:rsid w:val="3D2F0BEE"/>
    <w:rsid w:val="3D3656FD"/>
    <w:rsid w:val="3D515FE8"/>
    <w:rsid w:val="3D5B1428"/>
    <w:rsid w:val="3D643B40"/>
    <w:rsid w:val="3D647715"/>
    <w:rsid w:val="3D983D79"/>
    <w:rsid w:val="3D99125B"/>
    <w:rsid w:val="3D9F55A7"/>
    <w:rsid w:val="3DA35809"/>
    <w:rsid w:val="3DB71976"/>
    <w:rsid w:val="3DD55A0E"/>
    <w:rsid w:val="3DE40103"/>
    <w:rsid w:val="3DFC5433"/>
    <w:rsid w:val="3E130B04"/>
    <w:rsid w:val="3E1C4533"/>
    <w:rsid w:val="3E335161"/>
    <w:rsid w:val="3E505198"/>
    <w:rsid w:val="3E5A2B3C"/>
    <w:rsid w:val="3E745121"/>
    <w:rsid w:val="3EAD06F2"/>
    <w:rsid w:val="3EAF5C73"/>
    <w:rsid w:val="3EB22C22"/>
    <w:rsid w:val="3EB41A2F"/>
    <w:rsid w:val="3F1B7745"/>
    <w:rsid w:val="3F4B28FA"/>
    <w:rsid w:val="3F665580"/>
    <w:rsid w:val="3F9425AB"/>
    <w:rsid w:val="3FCE5151"/>
    <w:rsid w:val="3FE70740"/>
    <w:rsid w:val="3FE93BC5"/>
    <w:rsid w:val="3FEC4A80"/>
    <w:rsid w:val="3FFC5B63"/>
    <w:rsid w:val="3FFD7240"/>
    <w:rsid w:val="40273554"/>
    <w:rsid w:val="40567EA4"/>
    <w:rsid w:val="407E5EC7"/>
    <w:rsid w:val="40AE0BF4"/>
    <w:rsid w:val="40B7447C"/>
    <w:rsid w:val="40C06EAA"/>
    <w:rsid w:val="40D84870"/>
    <w:rsid w:val="41150272"/>
    <w:rsid w:val="41241AA8"/>
    <w:rsid w:val="41332329"/>
    <w:rsid w:val="416D3976"/>
    <w:rsid w:val="41A47984"/>
    <w:rsid w:val="41D04022"/>
    <w:rsid w:val="41D85D90"/>
    <w:rsid w:val="4209591F"/>
    <w:rsid w:val="421069C8"/>
    <w:rsid w:val="421971E7"/>
    <w:rsid w:val="42352573"/>
    <w:rsid w:val="42407E9D"/>
    <w:rsid w:val="426D7D1D"/>
    <w:rsid w:val="426E3515"/>
    <w:rsid w:val="42950AF8"/>
    <w:rsid w:val="429E76D3"/>
    <w:rsid w:val="42A671E3"/>
    <w:rsid w:val="42B26155"/>
    <w:rsid w:val="42DC7327"/>
    <w:rsid w:val="4310427E"/>
    <w:rsid w:val="431D5F0C"/>
    <w:rsid w:val="43202439"/>
    <w:rsid w:val="43456A88"/>
    <w:rsid w:val="436F62DB"/>
    <w:rsid w:val="43766BF9"/>
    <w:rsid w:val="437759BE"/>
    <w:rsid w:val="438D72E8"/>
    <w:rsid w:val="439C7DE7"/>
    <w:rsid w:val="43D20F4F"/>
    <w:rsid w:val="43F06D43"/>
    <w:rsid w:val="440B0B64"/>
    <w:rsid w:val="44270403"/>
    <w:rsid w:val="443002CD"/>
    <w:rsid w:val="44380BB2"/>
    <w:rsid w:val="44431E09"/>
    <w:rsid w:val="444D3C2C"/>
    <w:rsid w:val="445A2A98"/>
    <w:rsid w:val="44623654"/>
    <w:rsid w:val="447412E5"/>
    <w:rsid w:val="44804ED2"/>
    <w:rsid w:val="44980110"/>
    <w:rsid w:val="44A33F5D"/>
    <w:rsid w:val="44E275F8"/>
    <w:rsid w:val="44E87F0C"/>
    <w:rsid w:val="44F10F56"/>
    <w:rsid w:val="450212F6"/>
    <w:rsid w:val="4517606E"/>
    <w:rsid w:val="453934F6"/>
    <w:rsid w:val="454E6084"/>
    <w:rsid w:val="456F6E4F"/>
    <w:rsid w:val="45885067"/>
    <w:rsid w:val="45A63696"/>
    <w:rsid w:val="45C157DA"/>
    <w:rsid w:val="45D82D02"/>
    <w:rsid w:val="45F6769E"/>
    <w:rsid w:val="46102858"/>
    <w:rsid w:val="46470A23"/>
    <w:rsid w:val="464C0FBD"/>
    <w:rsid w:val="464D066E"/>
    <w:rsid w:val="46590636"/>
    <w:rsid w:val="468B3FEA"/>
    <w:rsid w:val="469566B3"/>
    <w:rsid w:val="46997C43"/>
    <w:rsid w:val="46BC3420"/>
    <w:rsid w:val="473C1CEA"/>
    <w:rsid w:val="473C2C9F"/>
    <w:rsid w:val="473F450C"/>
    <w:rsid w:val="473F6DA2"/>
    <w:rsid w:val="478C0A22"/>
    <w:rsid w:val="479302FD"/>
    <w:rsid w:val="47A25330"/>
    <w:rsid w:val="47A46409"/>
    <w:rsid w:val="47A66710"/>
    <w:rsid w:val="47B31170"/>
    <w:rsid w:val="47BB3886"/>
    <w:rsid w:val="47D67A30"/>
    <w:rsid w:val="47E83768"/>
    <w:rsid w:val="47FA656F"/>
    <w:rsid w:val="4839502A"/>
    <w:rsid w:val="48423397"/>
    <w:rsid w:val="484D6D5C"/>
    <w:rsid w:val="484F07D9"/>
    <w:rsid w:val="485856BA"/>
    <w:rsid w:val="48594D6E"/>
    <w:rsid w:val="485F577A"/>
    <w:rsid w:val="486467C6"/>
    <w:rsid w:val="486865BD"/>
    <w:rsid w:val="48732D41"/>
    <w:rsid w:val="487F1F36"/>
    <w:rsid w:val="48852CDB"/>
    <w:rsid w:val="48A47B1D"/>
    <w:rsid w:val="48DA12E9"/>
    <w:rsid w:val="48F25748"/>
    <w:rsid w:val="48F73E7F"/>
    <w:rsid w:val="49207710"/>
    <w:rsid w:val="49290846"/>
    <w:rsid w:val="494240A0"/>
    <w:rsid w:val="49483387"/>
    <w:rsid w:val="49662D57"/>
    <w:rsid w:val="49731BE8"/>
    <w:rsid w:val="497F1495"/>
    <w:rsid w:val="497F58D5"/>
    <w:rsid w:val="49B8447F"/>
    <w:rsid w:val="49C60E29"/>
    <w:rsid w:val="49D64DDB"/>
    <w:rsid w:val="49EB1628"/>
    <w:rsid w:val="49FD0832"/>
    <w:rsid w:val="4A074E65"/>
    <w:rsid w:val="4A190431"/>
    <w:rsid w:val="4A2265A8"/>
    <w:rsid w:val="4A37658F"/>
    <w:rsid w:val="4A3E2515"/>
    <w:rsid w:val="4A646116"/>
    <w:rsid w:val="4A854667"/>
    <w:rsid w:val="4AB229BF"/>
    <w:rsid w:val="4ADA48A8"/>
    <w:rsid w:val="4ADA6EB6"/>
    <w:rsid w:val="4AE51C42"/>
    <w:rsid w:val="4AEB6128"/>
    <w:rsid w:val="4AF2226F"/>
    <w:rsid w:val="4AF3540B"/>
    <w:rsid w:val="4B0F666B"/>
    <w:rsid w:val="4B55507F"/>
    <w:rsid w:val="4B893D3A"/>
    <w:rsid w:val="4B984BCA"/>
    <w:rsid w:val="4B9C60D8"/>
    <w:rsid w:val="4BA44250"/>
    <w:rsid w:val="4BA62831"/>
    <w:rsid w:val="4BAE5588"/>
    <w:rsid w:val="4BBB0DB9"/>
    <w:rsid w:val="4BCB179E"/>
    <w:rsid w:val="4BD13BF9"/>
    <w:rsid w:val="4BF107CB"/>
    <w:rsid w:val="4C1C5CE6"/>
    <w:rsid w:val="4C3D61BC"/>
    <w:rsid w:val="4C497F78"/>
    <w:rsid w:val="4C6E6FE9"/>
    <w:rsid w:val="4C791166"/>
    <w:rsid w:val="4C7B1DFA"/>
    <w:rsid w:val="4C914045"/>
    <w:rsid w:val="4C942727"/>
    <w:rsid w:val="4CA55416"/>
    <w:rsid w:val="4CC81F1A"/>
    <w:rsid w:val="4CCC2BA4"/>
    <w:rsid w:val="4CE5565A"/>
    <w:rsid w:val="4CF12536"/>
    <w:rsid w:val="4D015178"/>
    <w:rsid w:val="4D0642D9"/>
    <w:rsid w:val="4D0E2DD8"/>
    <w:rsid w:val="4D274E51"/>
    <w:rsid w:val="4D2922DF"/>
    <w:rsid w:val="4D32276F"/>
    <w:rsid w:val="4D5A2D95"/>
    <w:rsid w:val="4D770D2D"/>
    <w:rsid w:val="4D7E352C"/>
    <w:rsid w:val="4D85662E"/>
    <w:rsid w:val="4D9238DF"/>
    <w:rsid w:val="4D983601"/>
    <w:rsid w:val="4D9C2917"/>
    <w:rsid w:val="4DBC00FC"/>
    <w:rsid w:val="4DC60620"/>
    <w:rsid w:val="4E032E81"/>
    <w:rsid w:val="4E0535B9"/>
    <w:rsid w:val="4E077D1D"/>
    <w:rsid w:val="4E223347"/>
    <w:rsid w:val="4E2C24B1"/>
    <w:rsid w:val="4E46624A"/>
    <w:rsid w:val="4E5947F6"/>
    <w:rsid w:val="4E5C2612"/>
    <w:rsid w:val="4E63215D"/>
    <w:rsid w:val="4E962DCA"/>
    <w:rsid w:val="4E9704CE"/>
    <w:rsid w:val="4EBC2D2F"/>
    <w:rsid w:val="4ECB3D7D"/>
    <w:rsid w:val="4EEE1EAA"/>
    <w:rsid w:val="4EFD2805"/>
    <w:rsid w:val="4F1737AC"/>
    <w:rsid w:val="4F2955EE"/>
    <w:rsid w:val="4F301F41"/>
    <w:rsid w:val="4F4D5382"/>
    <w:rsid w:val="4F8A6665"/>
    <w:rsid w:val="4FA775D3"/>
    <w:rsid w:val="4FA923F4"/>
    <w:rsid w:val="4FAF0B95"/>
    <w:rsid w:val="4FC53324"/>
    <w:rsid w:val="4FCA0027"/>
    <w:rsid w:val="4FEB649A"/>
    <w:rsid w:val="4FEE0091"/>
    <w:rsid w:val="500D0F8F"/>
    <w:rsid w:val="50780886"/>
    <w:rsid w:val="50922AEE"/>
    <w:rsid w:val="50D81136"/>
    <w:rsid w:val="50F45008"/>
    <w:rsid w:val="50F56B85"/>
    <w:rsid w:val="50F62C3F"/>
    <w:rsid w:val="50FF1B83"/>
    <w:rsid w:val="51104943"/>
    <w:rsid w:val="51153D3E"/>
    <w:rsid w:val="512E5907"/>
    <w:rsid w:val="513952D3"/>
    <w:rsid w:val="51403A50"/>
    <w:rsid w:val="515E5AA1"/>
    <w:rsid w:val="516148C4"/>
    <w:rsid w:val="519244B0"/>
    <w:rsid w:val="51B17B90"/>
    <w:rsid w:val="51BA664F"/>
    <w:rsid w:val="51D32738"/>
    <w:rsid w:val="51DD6361"/>
    <w:rsid w:val="51E22E61"/>
    <w:rsid w:val="51E82F7A"/>
    <w:rsid w:val="51F04F5B"/>
    <w:rsid w:val="51F62BBA"/>
    <w:rsid w:val="52793978"/>
    <w:rsid w:val="527C3E48"/>
    <w:rsid w:val="52C17DDF"/>
    <w:rsid w:val="52F94071"/>
    <w:rsid w:val="530A6ADE"/>
    <w:rsid w:val="531630EC"/>
    <w:rsid w:val="531F7ADD"/>
    <w:rsid w:val="534311CF"/>
    <w:rsid w:val="534547A8"/>
    <w:rsid w:val="534C26E3"/>
    <w:rsid w:val="535914EA"/>
    <w:rsid w:val="53B621B0"/>
    <w:rsid w:val="53C6338B"/>
    <w:rsid w:val="53E0131C"/>
    <w:rsid w:val="53FE0B2B"/>
    <w:rsid w:val="54192E0F"/>
    <w:rsid w:val="544D0F0F"/>
    <w:rsid w:val="54614526"/>
    <w:rsid w:val="54641F54"/>
    <w:rsid w:val="547A66F7"/>
    <w:rsid w:val="5480423D"/>
    <w:rsid w:val="548E4F21"/>
    <w:rsid w:val="549A2215"/>
    <w:rsid w:val="54A22CE6"/>
    <w:rsid w:val="54B40DE1"/>
    <w:rsid w:val="54C365BE"/>
    <w:rsid w:val="54DE6D0B"/>
    <w:rsid w:val="54ED4C4D"/>
    <w:rsid w:val="551E2E2D"/>
    <w:rsid w:val="55542CC9"/>
    <w:rsid w:val="555D2FD2"/>
    <w:rsid w:val="55704124"/>
    <w:rsid w:val="55735CB1"/>
    <w:rsid w:val="55843994"/>
    <w:rsid w:val="559F6F6F"/>
    <w:rsid w:val="55FB5F11"/>
    <w:rsid w:val="56315E27"/>
    <w:rsid w:val="563F36C4"/>
    <w:rsid w:val="5648125F"/>
    <w:rsid w:val="56542A21"/>
    <w:rsid w:val="568D4CCC"/>
    <w:rsid w:val="569F77B8"/>
    <w:rsid w:val="56A23129"/>
    <w:rsid w:val="56AE3A80"/>
    <w:rsid w:val="56BD6F22"/>
    <w:rsid w:val="56D4067F"/>
    <w:rsid w:val="56DE04F3"/>
    <w:rsid w:val="56EA21B8"/>
    <w:rsid w:val="57417659"/>
    <w:rsid w:val="57587CB8"/>
    <w:rsid w:val="57647588"/>
    <w:rsid w:val="57726E34"/>
    <w:rsid w:val="57815ACD"/>
    <w:rsid w:val="5809428B"/>
    <w:rsid w:val="58434A86"/>
    <w:rsid w:val="584E4155"/>
    <w:rsid w:val="58B44514"/>
    <w:rsid w:val="58C15634"/>
    <w:rsid w:val="58E505DE"/>
    <w:rsid w:val="58E727DF"/>
    <w:rsid w:val="59075608"/>
    <w:rsid w:val="590D2299"/>
    <w:rsid w:val="591275E3"/>
    <w:rsid w:val="591D3AC9"/>
    <w:rsid w:val="592233ED"/>
    <w:rsid w:val="592C5B9C"/>
    <w:rsid w:val="593A1DAD"/>
    <w:rsid w:val="593A6404"/>
    <w:rsid w:val="595641C0"/>
    <w:rsid w:val="59701244"/>
    <w:rsid w:val="597E1D98"/>
    <w:rsid w:val="598B18D6"/>
    <w:rsid w:val="59C43647"/>
    <w:rsid w:val="59D20FA7"/>
    <w:rsid w:val="59D813FF"/>
    <w:rsid w:val="59E47BC2"/>
    <w:rsid w:val="59E55DDF"/>
    <w:rsid w:val="5A0050E7"/>
    <w:rsid w:val="5A0F7A8A"/>
    <w:rsid w:val="5A41047C"/>
    <w:rsid w:val="5A4D013E"/>
    <w:rsid w:val="5A4F4C73"/>
    <w:rsid w:val="5A652EF3"/>
    <w:rsid w:val="5A733F83"/>
    <w:rsid w:val="5A9A2294"/>
    <w:rsid w:val="5ACE4B7E"/>
    <w:rsid w:val="5AF700AC"/>
    <w:rsid w:val="5B0B6F32"/>
    <w:rsid w:val="5B1A64ED"/>
    <w:rsid w:val="5B454FF5"/>
    <w:rsid w:val="5B4C03E5"/>
    <w:rsid w:val="5B7B0627"/>
    <w:rsid w:val="5B9523DB"/>
    <w:rsid w:val="5BB22FBA"/>
    <w:rsid w:val="5BEA6AAE"/>
    <w:rsid w:val="5C026A2B"/>
    <w:rsid w:val="5C0F5011"/>
    <w:rsid w:val="5C375A0C"/>
    <w:rsid w:val="5C461110"/>
    <w:rsid w:val="5C4F7688"/>
    <w:rsid w:val="5C5B3131"/>
    <w:rsid w:val="5C5E7A11"/>
    <w:rsid w:val="5C6A72BD"/>
    <w:rsid w:val="5C8B0CC3"/>
    <w:rsid w:val="5CCD041A"/>
    <w:rsid w:val="5CE23794"/>
    <w:rsid w:val="5CEA66C5"/>
    <w:rsid w:val="5CFB3A08"/>
    <w:rsid w:val="5D400193"/>
    <w:rsid w:val="5D545005"/>
    <w:rsid w:val="5D702298"/>
    <w:rsid w:val="5D7D08DB"/>
    <w:rsid w:val="5D9C70AB"/>
    <w:rsid w:val="5DB16EB1"/>
    <w:rsid w:val="5DBB45E6"/>
    <w:rsid w:val="5DC12B24"/>
    <w:rsid w:val="5DC336AC"/>
    <w:rsid w:val="5DC9698A"/>
    <w:rsid w:val="5DE3223B"/>
    <w:rsid w:val="5E017648"/>
    <w:rsid w:val="5E2154AB"/>
    <w:rsid w:val="5E79098D"/>
    <w:rsid w:val="5E822B4E"/>
    <w:rsid w:val="5E982DF3"/>
    <w:rsid w:val="5EBC58CF"/>
    <w:rsid w:val="5EC00672"/>
    <w:rsid w:val="5EDB5710"/>
    <w:rsid w:val="5EE213DA"/>
    <w:rsid w:val="5EE96145"/>
    <w:rsid w:val="5EEE6103"/>
    <w:rsid w:val="5EF41EBC"/>
    <w:rsid w:val="5EF65D37"/>
    <w:rsid w:val="5F000B29"/>
    <w:rsid w:val="5F312DDE"/>
    <w:rsid w:val="5F4B112E"/>
    <w:rsid w:val="5F584E79"/>
    <w:rsid w:val="5F5D72B5"/>
    <w:rsid w:val="5F742497"/>
    <w:rsid w:val="5F7D5001"/>
    <w:rsid w:val="5F8104D4"/>
    <w:rsid w:val="5F837081"/>
    <w:rsid w:val="5F880942"/>
    <w:rsid w:val="5F9B13C9"/>
    <w:rsid w:val="5FBE41CC"/>
    <w:rsid w:val="5FD85B1C"/>
    <w:rsid w:val="5FD87AE5"/>
    <w:rsid w:val="5FE41339"/>
    <w:rsid w:val="5FE86735"/>
    <w:rsid w:val="5FFA481F"/>
    <w:rsid w:val="6001400F"/>
    <w:rsid w:val="6001578B"/>
    <w:rsid w:val="60107EBF"/>
    <w:rsid w:val="6016476D"/>
    <w:rsid w:val="6024778A"/>
    <w:rsid w:val="60300540"/>
    <w:rsid w:val="6054751C"/>
    <w:rsid w:val="606A043B"/>
    <w:rsid w:val="60A915E6"/>
    <w:rsid w:val="60DC0E20"/>
    <w:rsid w:val="611C05FC"/>
    <w:rsid w:val="612B79CF"/>
    <w:rsid w:val="61362246"/>
    <w:rsid w:val="61421332"/>
    <w:rsid w:val="617A6FDE"/>
    <w:rsid w:val="617D1F83"/>
    <w:rsid w:val="61AB5A4B"/>
    <w:rsid w:val="61C85F1D"/>
    <w:rsid w:val="61F564D2"/>
    <w:rsid w:val="62096772"/>
    <w:rsid w:val="622217A4"/>
    <w:rsid w:val="62231A6E"/>
    <w:rsid w:val="623F199C"/>
    <w:rsid w:val="624E4626"/>
    <w:rsid w:val="629120D5"/>
    <w:rsid w:val="62DA1B2A"/>
    <w:rsid w:val="62E17D92"/>
    <w:rsid w:val="631C5D39"/>
    <w:rsid w:val="63213215"/>
    <w:rsid w:val="6324625C"/>
    <w:rsid w:val="63375EE8"/>
    <w:rsid w:val="633D5EF8"/>
    <w:rsid w:val="634159A3"/>
    <w:rsid w:val="636A3B68"/>
    <w:rsid w:val="639C5B20"/>
    <w:rsid w:val="63C0158D"/>
    <w:rsid w:val="63D16D45"/>
    <w:rsid w:val="642F14CE"/>
    <w:rsid w:val="643D7511"/>
    <w:rsid w:val="646055BD"/>
    <w:rsid w:val="647C05F6"/>
    <w:rsid w:val="649C6FD1"/>
    <w:rsid w:val="649D76FD"/>
    <w:rsid w:val="649F3C95"/>
    <w:rsid w:val="64A46AB3"/>
    <w:rsid w:val="64B426B0"/>
    <w:rsid w:val="64E66B97"/>
    <w:rsid w:val="64E80737"/>
    <w:rsid w:val="64FB1FB7"/>
    <w:rsid w:val="65210689"/>
    <w:rsid w:val="652A0A23"/>
    <w:rsid w:val="652C2810"/>
    <w:rsid w:val="654324F4"/>
    <w:rsid w:val="654F44EC"/>
    <w:rsid w:val="65550600"/>
    <w:rsid w:val="656C2FCD"/>
    <w:rsid w:val="657F4D0C"/>
    <w:rsid w:val="659443FA"/>
    <w:rsid w:val="65D30318"/>
    <w:rsid w:val="65F32E0C"/>
    <w:rsid w:val="66017A34"/>
    <w:rsid w:val="661204ED"/>
    <w:rsid w:val="66211774"/>
    <w:rsid w:val="662A262A"/>
    <w:rsid w:val="662C182A"/>
    <w:rsid w:val="667902D8"/>
    <w:rsid w:val="668862F4"/>
    <w:rsid w:val="66B72175"/>
    <w:rsid w:val="66D523C8"/>
    <w:rsid w:val="66E06864"/>
    <w:rsid w:val="66FA3D89"/>
    <w:rsid w:val="67063F4D"/>
    <w:rsid w:val="670A3A62"/>
    <w:rsid w:val="670B5BEB"/>
    <w:rsid w:val="67225A83"/>
    <w:rsid w:val="675B2716"/>
    <w:rsid w:val="675E4402"/>
    <w:rsid w:val="677C4349"/>
    <w:rsid w:val="67BA316E"/>
    <w:rsid w:val="67CB3D03"/>
    <w:rsid w:val="67D020CD"/>
    <w:rsid w:val="67F82BF4"/>
    <w:rsid w:val="685B4B12"/>
    <w:rsid w:val="68601B0B"/>
    <w:rsid w:val="68A911D6"/>
    <w:rsid w:val="68C30653"/>
    <w:rsid w:val="68E15CEC"/>
    <w:rsid w:val="692815AA"/>
    <w:rsid w:val="692B2C08"/>
    <w:rsid w:val="694E7C26"/>
    <w:rsid w:val="695D53D6"/>
    <w:rsid w:val="6965132B"/>
    <w:rsid w:val="698857F6"/>
    <w:rsid w:val="69920852"/>
    <w:rsid w:val="69A161C6"/>
    <w:rsid w:val="69AB1D0F"/>
    <w:rsid w:val="69B72400"/>
    <w:rsid w:val="69C80604"/>
    <w:rsid w:val="69E50501"/>
    <w:rsid w:val="6A016A47"/>
    <w:rsid w:val="6A297E3A"/>
    <w:rsid w:val="6A5C74D8"/>
    <w:rsid w:val="6A6B0B13"/>
    <w:rsid w:val="6A764C27"/>
    <w:rsid w:val="6A7B2AA4"/>
    <w:rsid w:val="6ADB3633"/>
    <w:rsid w:val="6AED7B0E"/>
    <w:rsid w:val="6B04050D"/>
    <w:rsid w:val="6B225EE7"/>
    <w:rsid w:val="6B33690C"/>
    <w:rsid w:val="6B3B51BA"/>
    <w:rsid w:val="6B417F65"/>
    <w:rsid w:val="6BA419E4"/>
    <w:rsid w:val="6BA86947"/>
    <w:rsid w:val="6BDA56D6"/>
    <w:rsid w:val="6BF13A6B"/>
    <w:rsid w:val="6BF25161"/>
    <w:rsid w:val="6C67365C"/>
    <w:rsid w:val="6C85544A"/>
    <w:rsid w:val="6C902796"/>
    <w:rsid w:val="6C925B35"/>
    <w:rsid w:val="6CA616C1"/>
    <w:rsid w:val="6CA71F6A"/>
    <w:rsid w:val="6CAE1EE3"/>
    <w:rsid w:val="6CBA22EA"/>
    <w:rsid w:val="6CC845AA"/>
    <w:rsid w:val="6CF72485"/>
    <w:rsid w:val="6CFC50ED"/>
    <w:rsid w:val="6D274DDF"/>
    <w:rsid w:val="6D2845BD"/>
    <w:rsid w:val="6D2E5B50"/>
    <w:rsid w:val="6D3F5769"/>
    <w:rsid w:val="6D457634"/>
    <w:rsid w:val="6E0F7A08"/>
    <w:rsid w:val="6E1610CA"/>
    <w:rsid w:val="6E1D2B69"/>
    <w:rsid w:val="6E357BAD"/>
    <w:rsid w:val="6E636D15"/>
    <w:rsid w:val="6EDC70D1"/>
    <w:rsid w:val="6EE97F12"/>
    <w:rsid w:val="6F0111F3"/>
    <w:rsid w:val="6F3A48FD"/>
    <w:rsid w:val="6F3A67F6"/>
    <w:rsid w:val="6F9C291D"/>
    <w:rsid w:val="6FA81D6E"/>
    <w:rsid w:val="6FBE4162"/>
    <w:rsid w:val="6FEB7E54"/>
    <w:rsid w:val="6FEF7F96"/>
    <w:rsid w:val="701055B3"/>
    <w:rsid w:val="70107E6D"/>
    <w:rsid w:val="70240EF0"/>
    <w:rsid w:val="70656556"/>
    <w:rsid w:val="70676B0E"/>
    <w:rsid w:val="70833EE4"/>
    <w:rsid w:val="70861CD0"/>
    <w:rsid w:val="709F4C4A"/>
    <w:rsid w:val="71025FD2"/>
    <w:rsid w:val="71052329"/>
    <w:rsid w:val="7119579E"/>
    <w:rsid w:val="71374F4D"/>
    <w:rsid w:val="71393ED7"/>
    <w:rsid w:val="713C375B"/>
    <w:rsid w:val="714961A8"/>
    <w:rsid w:val="714D1630"/>
    <w:rsid w:val="71551C7E"/>
    <w:rsid w:val="719D1017"/>
    <w:rsid w:val="71B26FDA"/>
    <w:rsid w:val="71D50B93"/>
    <w:rsid w:val="71D8410B"/>
    <w:rsid w:val="71E05634"/>
    <w:rsid w:val="71FE31DA"/>
    <w:rsid w:val="72192C03"/>
    <w:rsid w:val="72407F9A"/>
    <w:rsid w:val="729A7B9E"/>
    <w:rsid w:val="72B80B33"/>
    <w:rsid w:val="72E045E2"/>
    <w:rsid w:val="730F708A"/>
    <w:rsid w:val="731B2274"/>
    <w:rsid w:val="73344913"/>
    <w:rsid w:val="738052D6"/>
    <w:rsid w:val="7391647C"/>
    <w:rsid w:val="73A26E25"/>
    <w:rsid w:val="73BD648B"/>
    <w:rsid w:val="73E5573F"/>
    <w:rsid w:val="73E81585"/>
    <w:rsid w:val="7404712A"/>
    <w:rsid w:val="740E6B9F"/>
    <w:rsid w:val="741331F2"/>
    <w:rsid w:val="74625F5B"/>
    <w:rsid w:val="74AB4FB7"/>
    <w:rsid w:val="74AD68FC"/>
    <w:rsid w:val="74C42B9A"/>
    <w:rsid w:val="74D663E5"/>
    <w:rsid w:val="74DE2CC1"/>
    <w:rsid w:val="74E41166"/>
    <w:rsid w:val="75754A8A"/>
    <w:rsid w:val="75993059"/>
    <w:rsid w:val="75DD4BB3"/>
    <w:rsid w:val="760406F3"/>
    <w:rsid w:val="76054F38"/>
    <w:rsid w:val="76074F8D"/>
    <w:rsid w:val="760D493F"/>
    <w:rsid w:val="76136071"/>
    <w:rsid w:val="76143E0D"/>
    <w:rsid w:val="76233065"/>
    <w:rsid w:val="76493336"/>
    <w:rsid w:val="76516F5D"/>
    <w:rsid w:val="76765B9E"/>
    <w:rsid w:val="769D07A6"/>
    <w:rsid w:val="76EA21EC"/>
    <w:rsid w:val="76F33159"/>
    <w:rsid w:val="76F8306D"/>
    <w:rsid w:val="770E5F3B"/>
    <w:rsid w:val="770E6C2F"/>
    <w:rsid w:val="77192054"/>
    <w:rsid w:val="773C1999"/>
    <w:rsid w:val="773C45B5"/>
    <w:rsid w:val="77496312"/>
    <w:rsid w:val="774D32C5"/>
    <w:rsid w:val="778C51CD"/>
    <w:rsid w:val="77AA27CD"/>
    <w:rsid w:val="77AD3FAA"/>
    <w:rsid w:val="77D133CB"/>
    <w:rsid w:val="77DC577D"/>
    <w:rsid w:val="77F61AB8"/>
    <w:rsid w:val="77FE4542"/>
    <w:rsid w:val="784824DF"/>
    <w:rsid w:val="785E6A1A"/>
    <w:rsid w:val="786C0FE6"/>
    <w:rsid w:val="78804750"/>
    <w:rsid w:val="788D6BD3"/>
    <w:rsid w:val="78E465DE"/>
    <w:rsid w:val="7907516E"/>
    <w:rsid w:val="792C2F15"/>
    <w:rsid w:val="79352D33"/>
    <w:rsid w:val="793B6B15"/>
    <w:rsid w:val="794B109D"/>
    <w:rsid w:val="79733555"/>
    <w:rsid w:val="79812681"/>
    <w:rsid w:val="79983E03"/>
    <w:rsid w:val="79A372C4"/>
    <w:rsid w:val="79B6144B"/>
    <w:rsid w:val="79C61931"/>
    <w:rsid w:val="79DC06E9"/>
    <w:rsid w:val="79E16DF0"/>
    <w:rsid w:val="79FA1FEA"/>
    <w:rsid w:val="7A025275"/>
    <w:rsid w:val="7A383A59"/>
    <w:rsid w:val="7A537D9F"/>
    <w:rsid w:val="7A5E45D7"/>
    <w:rsid w:val="7A7527CA"/>
    <w:rsid w:val="7A824B4C"/>
    <w:rsid w:val="7A9609D5"/>
    <w:rsid w:val="7ABD6664"/>
    <w:rsid w:val="7AC8094B"/>
    <w:rsid w:val="7AD337B3"/>
    <w:rsid w:val="7AD64131"/>
    <w:rsid w:val="7AEE0613"/>
    <w:rsid w:val="7B004FE7"/>
    <w:rsid w:val="7B0D4967"/>
    <w:rsid w:val="7B18279A"/>
    <w:rsid w:val="7B2A06C3"/>
    <w:rsid w:val="7B472780"/>
    <w:rsid w:val="7B4B69CC"/>
    <w:rsid w:val="7B797D42"/>
    <w:rsid w:val="7BAB1A51"/>
    <w:rsid w:val="7BBA78FE"/>
    <w:rsid w:val="7BE01A4B"/>
    <w:rsid w:val="7BE91359"/>
    <w:rsid w:val="7C157BE5"/>
    <w:rsid w:val="7C1F2069"/>
    <w:rsid w:val="7C55164D"/>
    <w:rsid w:val="7C714C5E"/>
    <w:rsid w:val="7C9B7B98"/>
    <w:rsid w:val="7CAA478E"/>
    <w:rsid w:val="7CB82180"/>
    <w:rsid w:val="7CD31237"/>
    <w:rsid w:val="7CFD4912"/>
    <w:rsid w:val="7D1217CA"/>
    <w:rsid w:val="7D1D7500"/>
    <w:rsid w:val="7D1E0EF6"/>
    <w:rsid w:val="7D5C1B7D"/>
    <w:rsid w:val="7DB33FFB"/>
    <w:rsid w:val="7DF42762"/>
    <w:rsid w:val="7E012BB0"/>
    <w:rsid w:val="7E081A06"/>
    <w:rsid w:val="7E2D16B4"/>
    <w:rsid w:val="7E345DA1"/>
    <w:rsid w:val="7E422F55"/>
    <w:rsid w:val="7E723A0C"/>
    <w:rsid w:val="7EAA000A"/>
    <w:rsid w:val="7EB05747"/>
    <w:rsid w:val="7EB5021E"/>
    <w:rsid w:val="7EBA2357"/>
    <w:rsid w:val="7EDE50F3"/>
    <w:rsid w:val="7EED1E29"/>
    <w:rsid w:val="7F4326FF"/>
    <w:rsid w:val="7F550C7C"/>
    <w:rsid w:val="7F59326F"/>
    <w:rsid w:val="7F6E1CD3"/>
    <w:rsid w:val="7F887272"/>
    <w:rsid w:val="7F8B2F53"/>
    <w:rsid w:val="7F926766"/>
    <w:rsid w:val="7F9C30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character" w:styleId="9">
    <w:name w:val="Strong"/>
    <w:qFormat/>
    <w:uiPriority w:val="0"/>
    <w:rPr>
      <w:b/>
      <w:bCs/>
    </w:rPr>
  </w:style>
  <w:style w:type="character" w:styleId="10">
    <w:name w:val="page number"/>
    <w:basedOn w:val="8"/>
    <w:qFormat/>
    <w:uiPriority w:val="0"/>
  </w:style>
  <w:style w:type="character" w:styleId="11">
    <w:name w:val="Emphasis"/>
    <w:basedOn w:val="8"/>
    <w:qFormat/>
    <w:uiPriority w:val="0"/>
    <w:rPr>
      <w:color w:val="CC0000"/>
    </w:rPr>
  </w:style>
  <w:style w:type="character" w:customStyle="1" w:styleId="12">
    <w:name w:val="页脚 Char"/>
    <w:basedOn w:val="8"/>
    <w:link w:val="4"/>
    <w:qFormat/>
    <w:uiPriority w:val="99"/>
    <w:rPr>
      <w:kern w:val="2"/>
      <w:sz w:val="18"/>
      <w:szCs w:val="18"/>
    </w:rPr>
  </w:style>
  <w:style w:type="character" w:customStyle="1" w:styleId="13">
    <w:name w:val="批注框文本 Char"/>
    <w:basedOn w:val="8"/>
    <w:link w:val="3"/>
    <w:qFormat/>
    <w:uiPriority w:val="0"/>
    <w:rPr>
      <w:kern w:val="2"/>
      <w:sz w:val="18"/>
      <w:szCs w:val="18"/>
    </w:rPr>
  </w:style>
  <w:style w:type="paragraph" w:customStyle="1" w:styleId="14">
    <w:name w:val="p01"/>
    <w:basedOn w:val="1"/>
    <w:qFormat/>
    <w:uiPriority w:val="0"/>
    <w:pPr>
      <w:widowControl/>
      <w:spacing w:before="100" w:beforeAutospacing="1" w:after="100" w:afterAutospacing="1" w:line="540" w:lineRule="atLeast"/>
      <w:jc w:val="left"/>
    </w:pPr>
    <w:rPr>
      <w:rFonts w:ascii="宋体" w:hAnsi="宋体" w:cs="宋体"/>
      <w:kern w:val="0"/>
      <w:szCs w:val="21"/>
    </w:rPr>
  </w:style>
  <w:style w:type="paragraph" w:customStyle="1" w:styleId="15">
    <w:name w:val="Char"/>
    <w:basedOn w:val="1"/>
    <w:qFormat/>
    <w:uiPriority w:val="0"/>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A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E29368-5831-42F2-828F-8276A5D631A5}">
  <ds:schemaRefs/>
</ds:datastoreItem>
</file>

<file path=docProps/app.xml><?xml version="1.0" encoding="utf-8"?>
<Properties xmlns="http://schemas.openxmlformats.org/officeDocument/2006/extended-properties" xmlns:vt="http://schemas.openxmlformats.org/officeDocument/2006/docPropsVTypes">
  <Template>A4模版</Template>
  <Company>Microsoft</Company>
  <Pages>16</Pages>
  <Words>1487</Words>
  <Characters>8480</Characters>
  <Lines>70</Lines>
  <Paragraphs>19</Paragraphs>
  <TotalTime>64</TotalTime>
  <ScaleCrop>false</ScaleCrop>
  <LinksUpToDate>false</LinksUpToDate>
  <CharactersWithSpaces>9948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2020-12-31T10:01:00Z</dcterms:created>
  <dc:creator>User</dc:creator>
  <cp:lastModifiedBy>Administrator</cp:lastModifiedBy>
  <cp:lastPrinted>2023-01-02T02:40:00Z</cp:lastPrinted>
  <dcterms:modified xsi:type="dcterms:W3CDTF">2023-01-02T06:01:47Z</dcterms:modified>
  <dc:title>绥阳县2013年全县及县本级预算执行情况和2014年全县及县本级预算草案</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DDC788C6086F484390BDAA4238434AC4</vt:lpwstr>
  </property>
</Properties>
</file>