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宋体" w:hAnsi="宋体" w:eastAsia="宋体"/>
          <w:b/>
          <w:sz w:val="36"/>
        </w:rPr>
      </w:pPr>
      <w:bookmarkStart w:id="0" w:name="_GoBack"/>
      <w:r>
        <w:rPr>
          <w:rFonts w:hint="eastAsia" w:ascii="宋体" w:hAnsi="宋体" w:eastAsia="宋体"/>
          <w:b/>
          <w:sz w:val="36"/>
          <w:lang w:eastAsia="zh-CN"/>
        </w:rPr>
        <w:t>对擅自在村庄、集镇规划区内的街道、广场、市场和车站等场所修建临时建筑物、构筑物和其他设施的</w:t>
      </w:r>
      <w:bookmarkEnd w:id="0"/>
      <w:r>
        <w:rPr>
          <w:rFonts w:hint="eastAsia" w:ascii="宋体" w:hAnsi="宋体" w:eastAsia="宋体"/>
          <w:b/>
          <w:sz w:val="36"/>
          <w:lang w:eastAsia="zh-CN"/>
        </w:rPr>
        <w:t>处罚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321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-958850</wp:posOffset>
            </wp:positionH>
            <wp:positionV relativeFrom="paragraph">
              <wp:posOffset>121920</wp:posOffset>
            </wp:positionV>
            <wp:extent cx="6510655" cy="6704330"/>
            <wp:effectExtent l="0" t="0" r="12065" b="127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10655" cy="6704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2"/>
        <w:tblW w:w="43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0"/>
        <w:gridCol w:w="1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980" w:type="dxa"/>
            <w:vAlign w:val="bottom"/>
          </w:tcPr>
          <w:p>
            <w:pPr>
              <w:spacing w:line="239" w:lineRule="exact"/>
              <w:ind w:left="26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立</w:t>
            </w:r>
          </w:p>
        </w:tc>
        <w:tc>
          <w:tcPr>
            <w:tcW w:w="1400" w:type="dxa"/>
            <w:vAlign w:val="bottom"/>
          </w:tcPr>
          <w:p>
            <w:pPr>
              <w:spacing w:line="239" w:lineRule="exact"/>
              <w:ind w:left="1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80" w:type="dxa"/>
            <w:gridSpan w:val="2"/>
            <w:vAlign w:val="bottom"/>
          </w:tcPr>
          <w:p>
            <w:pPr>
              <w:spacing w:line="239" w:lineRule="exact"/>
              <w:ind w:left="182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对违法行为线索进行审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80" w:type="dxa"/>
            <w:gridSpan w:val="2"/>
            <w:vAlign w:val="bottom"/>
          </w:tcPr>
          <w:p>
            <w:pPr>
              <w:spacing w:line="239" w:lineRule="exact"/>
              <w:ind w:left="182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查核实，决定是否立案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2980" w:type="dxa"/>
            <w:vAlign w:val="bottom"/>
          </w:tcPr>
          <w:p>
            <w:pPr>
              <w:spacing w:line="239" w:lineRule="exact"/>
              <w:ind w:left="13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简易程序</w:t>
            </w:r>
          </w:p>
        </w:tc>
        <w:tc>
          <w:tcPr>
            <w:tcW w:w="1400" w:type="dxa"/>
            <w:vAlign w:val="bottom"/>
          </w:tcPr>
          <w:p>
            <w:pPr>
              <w:spacing w:line="239" w:lineRule="exact"/>
              <w:ind w:left="44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一般程序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 w:hRule="atLeast"/>
        </w:trPr>
        <w:tc>
          <w:tcPr>
            <w:tcW w:w="2980" w:type="dxa"/>
            <w:tcBorders>
              <w:bottom w:val="single" w:color="auto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</w:tr>
    </w:tbl>
    <w:p>
      <w:pPr>
        <w:rPr>
          <w:rFonts w:ascii="Times New Roman" w:hAnsi="Times New Roman" w:eastAsia="Times New Roman"/>
          <w:sz w:val="11"/>
        </w:rPr>
        <w:sectPr>
          <w:pgSz w:w="11900" w:h="16838"/>
          <w:pgMar w:top="1440" w:right="1984" w:bottom="937" w:left="2680" w:header="0" w:footer="0" w:gutter="0"/>
          <w:cols w:space="720" w:num="1"/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2" w:lineRule="exact"/>
        <w:rPr>
          <w:rFonts w:ascii="Times New Roman" w:hAnsi="Times New Roman" w:eastAsia="Times New Roman"/>
        </w:rPr>
      </w:pPr>
    </w:p>
    <w:p>
      <w:pPr>
        <w:spacing w:line="282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执法人员当场作出行政处罚决定的，应当向当事人出示执法证件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22" w:lineRule="exact"/>
        <w:rPr>
          <w:rFonts w:ascii="Times New Roman" w:hAnsi="Times New Roman" w:eastAsia="Times New Roman"/>
        </w:rPr>
      </w:pPr>
    </w:p>
    <w:p>
      <w:pPr>
        <w:spacing w:line="282" w:lineRule="auto"/>
        <w:ind w:left="460" w:right="66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行政处罚决定书应当当场交付当事人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94" w:lineRule="exact"/>
        <w:rPr>
          <w:rFonts w:ascii="Times New Roman" w:hAnsi="Times New Roman" w:eastAsia="Times New Roman"/>
        </w:rPr>
      </w:pPr>
    </w:p>
    <w:p>
      <w:pPr>
        <w:spacing w:line="297" w:lineRule="auto"/>
        <w:ind w:left="840" w:leftChars="399" w:right="620" w:hanging="2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调查或检查执法人员不得少于两人，收集有关证据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63" w:lineRule="auto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案件审查</w:t>
      </w:r>
    </w:p>
    <w:p>
      <w:pPr>
        <w:spacing w:line="263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行政机关负责人对调查结果进行审查，提出处理意见。给予较重行政处罚的，行政机关的负责人应当集体讨论决定</w:t>
      </w:r>
    </w:p>
    <w:p>
      <w:pPr>
        <w:spacing w:line="376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70" w:lineRule="auto"/>
        <w:ind w:right="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回避</w:t>
      </w:r>
    </w:p>
    <w:p>
      <w:pPr>
        <w:spacing w:line="270" w:lineRule="auto"/>
        <w:ind w:right="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执法人员与当事人</w:t>
      </w:r>
    </w:p>
    <w:p>
      <w:pPr>
        <w:spacing w:line="61" w:lineRule="exact"/>
        <w:rPr>
          <w:rFonts w:ascii="Times New Roman" w:hAnsi="Times New Roman" w:eastAsia="Times New Roman"/>
        </w:rPr>
      </w:pPr>
    </w:p>
    <w:p>
      <w:pPr>
        <w:spacing w:line="270" w:lineRule="auto"/>
        <w:ind w:right="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有直接利害关系的，应当回避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0" w:lineRule="auto"/>
        <w:ind w:left="420" w:leftChars="200" w:right="80" w:firstLine="0" w:firstLineChars="0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听 证</w:t>
      </w:r>
    </w:p>
    <w:p>
      <w:pPr>
        <w:spacing w:line="270" w:lineRule="auto"/>
        <w:ind w:left="420" w:leftChars="200" w:right="80" w:firstLine="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符合听证情形的，公告并举行听证</w:t>
      </w:r>
    </w:p>
    <w:p>
      <w:pPr>
        <w:spacing w:line="270" w:lineRule="auto"/>
        <w:ind w:left="900" w:hanging="491"/>
        <w:rPr>
          <w:rFonts w:ascii="宋体" w:hAnsi="宋体" w:eastAsia="宋体"/>
          <w:sz w:val="21"/>
        </w:rPr>
        <w:sectPr>
          <w:type w:val="continuous"/>
          <w:pgSz w:w="11900" w:h="16838"/>
          <w:pgMar w:top="1440" w:right="660" w:bottom="937" w:left="1340" w:header="0" w:footer="0" w:gutter="0"/>
          <w:cols w:equalWidth="0" w:num="3">
            <w:col w:w="3020" w:space="760"/>
            <w:col w:w="3700" w:space="600"/>
            <w:col w:w="182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7" w:lineRule="exact"/>
        <w:rPr>
          <w:rFonts w:ascii="Times New Roman" w:hAnsi="Times New Roman" w:eastAsia="Times New Roman"/>
        </w:rPr>
      </w:pPr>
    </w:p>
    <w:p>
      <w:pPr>
        <w:spacing w:line="297" w:lineRule="auto"/>
        <w:jc w:val="both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执法人员当场作出的行政处罚决定，必须报所属行政机关备案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9" w:lineRule="exact"/>
        <w:rPr>
          <w:rFonts w:ascii="Times New Roman" w:hAnsi="Times New Roman" w:eastAsia="Times New Roman"/>
        </w:rPr>
      </w:pPr>
    </w:p>
    <w:p>
      <w:pPr>
        <w:spacing w:line="282" w:lineRule="auto"/>
        <w:ind w:right="320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告</w:t>
      </w:r>
      <w:r>
        <w:rPr>
          <w:rFonts w:hint="eastAsia" w:ascii="宋体" w:hAnsi="宋体" w:eastAsia="宋体"/>
          <w:sz w:val="21"/>
          <w:lang w:val="en-US" w:eastAsia="zh-CN"/>
        </w:rPr>
        <w:t xml:space="preserve"> </w:t>
      </w:r>
      <w:r>
        <w:rPr>
          <w:rFonts w:ascii="宋体" w:hAnsi="宋体" w:eastAsia="宋体"/>
          <w:sz w:val="21"/>
        </w:rPr>
        <w:t>知</w:t>
      </w:r>
    </w:p>
    <w:p>
      <w:pPr>
        <w:spacing w:line="282" w:lineRule="auto"/>
        <w:ind w:right="3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在作出处罚决定之前，应告知当事人作出处罚决定的事由、理由及依据，并告知当事人救济权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9" w:lineRule="exact"/>
        <w:rPr>
          <w:rFonts w:ascii="Times New Roman" w:hAnsi="Times New Roman" w:eastAsia="Times New Roman"/>
        </w:rPr>
      </w:pPr>
    </w:p>
    <w:p>
      <w:pPr>
        <w:spacing w:line="282" w:lineRule="auto"/>
        <w:ind w:left="100" w:firstLine="1574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决 定</w:t>
      </w:r>
    </w:p>
    <w:p>
      <w:pPr>
        <w:spacing w:line="282" w:lineRule="auto"/>
        <w:ind w:left="100" w:leftChars="0" w:firstLine="10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对案件事实和适用法律问题进行认定，依法作出行政处罚决定，制作处罚决定书</w:t>
      </w:r>
    </w:p>
    <w:p>
      <w:pPr>
        <w:spacing w:line="239" w:lineRule="auto"/>
        <w:ind w:left="400"/>
        <w:rPr>
          <w:rFonts w:ascii="宋体" w:hAnsi="宋体" w:eastAsia="宋体"/>
          <w:sz w:val="21"/>
        </w:rPr>
        <w:sectPr>
          <w:type w:val="continuous"/>
          <w:pgSz w:w="11900" w:h="16838"/>
          <w:pgMar w:top="1440" w:right="2820" w:bottom="937" w:left="1700" w:header="0" w:footer="0" w:gutter="0"/>
          <w:cols w:equalWidth="0" w:num="2">
            <w:col w:w="2160" w:space="1160"/>
            <w:col w:w="406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95" w:lineRule="exact"/>
        <w:rPr>
          <w:rFonts w:ascii="Times New Roman" w:hAnsi="Times New Roman" w:eastAsia="Times New Roman"/>
        </w:rPr>
      </w:pPr>
    </w:p>
    <w:p>
      <w:pPr>
        <w:spacing w:line="297" w:lineRule="auto"/>
        <w:ind w:left="4520" w:firstLine="631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送 达</w:t>
      </w:r>
    </w:p>
    <w:p>
      <w:pPr>
        <w:spacing w:line="297" w:lineRule="auto"/>
        <w:ind w:left="4520" w:leftChars="0" w:hanging="12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依法送达并公开行政处罚决定书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6" w:lineRule="exact"/>
        <w:rPr>
          <w:rFonts w:hint="eastAsia" w:ascii="Times New Roman" w:hAnsi="Times New Roman" w:eastAsia="宋体"/>
          <w:lang w:eastAsia="zh-CN"/>
        </w:rPr>
      </w:pPr>
    </w:p>
    <w:p>
      <w:pPr>
        <w:spacing w:line="0" w:lineRule="atLeas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t>办理机构：</w:t>
      </w:r>
      <w:r>
        <w:rPr>
          <w:rFonts w:hint="eastAsia" w:ascii="宋体" w:hAnsi="宋体" w:eastAsia="宋体"/>
          <w:sz w:val="21"/>
          <w:lang w:val="en-US" w:eastAsia="zh-CN"/>
        </w:rPr>
        <w:t>洋川街道办事处</w:t>
      </w:r>
    </w:p>
    <w:p>
      <w:pPr>
        <w:spacing w:line="0" w:lineRule="atLeast"/>
        <w:rPr>
          <w:sz w:val="21"/>
        </w:rPr>
        <w:sectPr>
          <w:type w:val="continuous"/>
          <w:pgSz w:w="11900" w:h="16838"/>
          <w:pgMar w:top="1440" w:right="3920" w:bottom="937" w:left="1580" w:header="0" w:footer="0" w:gutter="0"/>
          <w:cols w:space="720" w:num="1"/>
          <w:docGrid w:linePitch="360" w:charSpace="0"/>
        </w:sectPr>
      </w:pPr>
    </w:p>
    <w:p/>
    <w:sectPr>
      <w:pgSz w:w="11906" w:h="16838"/>
      <w:pgMar w:top="1701" w:right="0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mNjAwZGY5YTBiMjIxNTIwMjFiMzhjMTZlYWU4NTcifQ=="/>
  </w:docVars>
  <w:rsids>
    <w:rsidRoot w:val="1A0654E6"/>
    <w:rsid w:val="004B525D"/>
    <w:rsid w:val="1A0654E6"/>
    <w:rsid w:val="35222506"/>
    <w:rsid w:val="357732B4"/>
    <w:rsid w:val="4B683318"/>
    <w:rsid w:val="50764728"/>
    <w:rsid w:val="595524F3"/>
    <w:rsid w:val="646136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355</Words>
  <Characters>355</Characters>
  <Lines>0</Lines>
  <Paragraphs>0</Paragraphs>
  <TotalTime>1</TotalTime>
  <ScaleCrop>false</ScaleCrop>
  <LinksUpToDate>false</LinksUpToDate>
  <CharactersWithSpaces>359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2017-10-10T01:50:00Z</dcterms:created>
  <dc:creator>Administrator</dc:creator>
  <cp:lastModifiedBy>田茂琪</cp:lastModifiedBy>
  <dcterms:modified xsi:type="dcterms:W3CDTF">2024-06-06T10:21:01Z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435E0A40019D4E6483C1BE1ACDE09FDF_13</vt:lpwstr>
  </property>
</Properties>
</file>