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spacing w:line="580" w:lineRule="exact"/>
        <w:jc w:val="center"/>
        <w:textAlignment w:val="auto"/>
        <w:rPr>
          <w:rFonts w:hint="default" w:ascii="宋体" w:hAnsi="宋体" w:eastAsia="宋体"/>
          <w:b/>
          <w:bCs/>
          <w:sz w:val="72"/>
          <w:szCs w:val="72"/>
          <w:lang w:val="en-US" w:eastAsia="zh-CN"/>
        </w:rPr>
      </w:pPr>
      <w:r>
        <w:drawing>
          <wp:anchor distT="0" distB="0" distL="114300" distR="114300" simplePos="0" relativeHeight="251658240" behindDoc="0" locked="0" layoutInCell="1" allowOverlap="1">
            <wp:simplePos x="0" y="0"/>
            <wp:positionH relativeFrom="column">
              <wp:posOffset>-332740</wp:posOffset>
            </wp:positionH>
            <wp:positionV relativeFrom="paragraph">
              <wp:posOffset>-1033145</wp:posOffset>
            </wp:positionV>
            <wp:extent cx="6488430" cy="9594850"/>
            <wp:effectExtent l="0" t="0" r="7620" b="635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6488430" cy="9594850"/>
                    </a:xfrm>
                    <a:prstGeom prst="rect">
                      <a:avLst/>
                    </a:prstGeom>
                    <a:noFill/>
                    <a:ln>
                      <a:noFill/>
                    </a:ln>
                  </pic:spPr>
                </pic:pic>
              </a:graphicData>
            </a:graphic>
          </wp:anchor>
        </w:drawing>
      </w:r>
      <w:r>
        <w:rPr>
          <w:rFonts w:hint="eastAsia" w:ascii="宋体" w:hAnsi="宋体"/>
          <w:b/>
          <w:bCs/>
          <w:sz w:val="72"/>
          <w:szCs w:val="72"/>
          <w:lang w:val="en-US" w:eastAsia="zh-CN"/>
        </w:rPr>
        <w:t xml:space="preserve">                     </w:t>
      </w:r>
    </w:p>
    <w:p>
      <w:pPr>
        <w:spacing w:before="0" w:beforeLines="0" w:after="0" w:afterLines="0" w:line="240" w:lineRule="auto"/>
        <w:ind w:left="0" w:leftChars="0" w:right="0" w:rightChars="0" w:firstLine="0" w:firstLineChars="0"/>
        <w:jc w:val="center"/>
      </w:pPr>
      <w:bookmarkStart w:id="0" w:name="_Toc6265_WPSOffice_Type2"/>
      <w:r>
        <w:rPr>
          <w:rFonts w:ascii="宋体" w:hAnsi="宋体" w:eastAsia="宋体"/>
          <w:sz w:val="21"/>
        </w:rPr>
        <w:t>目录</w:t>
      </w:r>
    </w:p>
    <w:p>
      <w:pPr>
        <w:pStyle w:val="9"/>
        <w:tabs>
          <w:tab w:val="right" w:leader="dot" w:pos="9070"/>
        </w:tabs>
      </w:pPr>
      <w:r>
        <w:rPr>
          <w:b/>
          <w:bCs/>
        </w:rPr>
        <w:fldChar w:fldCharType="begin"/>
      </w:r>
      <w:r>
        <w:instrText xml:space="preserve"> HYPERLINK \l _Toc31801_WPSOffice_Level1 </w:instrText>
      </w:r>
      <w:r>
        <w:rPr>
          <w:b/>
          <w:bCs/>
        </w:rPr>
        <w:fldChar w:fldCharType="separate"/>
      </w:r>
      <w:r>
        <w:rPr>
          <w:rFonts w:hint="eastAsia" w:ascii="方正小标宋简体" w:hAnsi="方正小标宋简体" w:eastAsia="方正小标宋简体" w:cs="方正小标宋简体"/>
          <w:b/>
          <w:bCs/>
        </w:rPr>
        <w:t>第一部分  部门概况</w:t>
      </w:r>
      <w:r>
        <w:rPr>
          <w:b/>
          <w:bCs/>
        </w:rPr>
        <w:tab/>
      </w:r>
      <w:bookmarkStart w:id="1" w:name="_Toc31801_WPSOffice_Level1Page"/>
      <w:r>
        <w:rPr>
          <w:b/>
          <w:bCs/>
        </w:rPr>
        <w:t>1</w:t>
      </w:r>
      <w:bookmarkEnd w:id="1"/>
      <w:r>
        <w:rPr>
          <w:b/>
          <w:bCs/>
        </w:rPr>
        <w:fldChar w:fldCharType="end"/>
      </w:r>
    </w:p>
    <w:p>
      <w:pPr>
        <w:pStyle w:val="10"/>
        <w:tabs>
          <w:tab w:val="right" w:leader="dot" w:pos="9070"/>
        </w:tabs>
      </w:pPr>
      <w:r>
        <w:fldChar w:fldCharType="begin"/>
      </w:r>
      <w:r>
        <w:instrText xml:space="preserve"> HYPERLINK \l _Toc3243_WPSOffice_Level2 </w:instrText>
      </w:r>
      <w:r>
        <w:fldChar w:fldCharType="separate"/>
      </w:r>
      <w:r>
        <w:rPr>
          <w:rFonts w:hint="eastAsia" w:ascii="黑体" w:hAnsi="黑体" w:eastAsia="黑体" w:cs="黑体"/>
        </w:rPr>
        <w:t>一、部门职责</w:t>
      </w:r>
      <w:r>
        <w:tab/>
      </w:r>
      <w:bookmarkStart w:id="2" w:name="_Toc3243_WPSOffice_Level2Page"/>
      <w:r>
        <w:t>1</w:t>
      </w:r>
      <w:bookmarkEnd w:id="2"/>
      <w:r>
        <w:fldChar w:fldCharType="end"/>
      </w:r>
    </w:p>
    <w:p>
      <w:pPr>
        <w:pStyle w:val="10"/>
        <w:tabs>
          <w:tab w:val="right" w:leader="dot" w:pos="9070"/>
        </w:tabs>
      </w:pPr>
      <w:r>
        <w:fldChar w:fldCharType="begin"/>
      </w:r>
      <w:r>
        <w:instrText xml:space="preserve"> HYPERLINK \l _Toc12261_WPSOffice_Level2 </w:instrText>
      </w:r>
      <w:r>
        <w:fldChar w:fldCharType="separate"/>
      </w:r>
      <w:r>
        <w:rPr>
          <w:rFonts w:hint="eastAsia" w:ascii="Arial" w:hAnsi="Arial" w:eastAsia="黑体"/>
        </w:rPr>
        <w:t>二、机构设置</w:t>
      </w:r>
      <w:r>
        <w:tab/>
      </w:r>
      <w:bookmarkStart w:id="3" w:name="_Toc12261_WPSOffice_Level2Page"/>
      <w:r>
        <w:t>2</w:t>
      </w:r>
      <w:bookmarkEnd w:id="3"/>
      <w:r>
        <w:fldChar w:fldCharType="end"/>
      </w:r>
    </w:p>
    <w:p>
      <w:pPr>
        <w:pStyle w:val="10"/>
        <w:tabs>
          <w:tab w:val="right" w:leader="dot" w:pos="9070"/>
        </w:tabs>
      </w:pPr>
      <w:r>
        <w:fldChar w:fldCharType="begin"/>
      </w:r>
      <w:r>
        <w:instrText xml:space="preserve"> HYPERLINK \l _Toc18232_WPSOffice_Level2 </w:instrText>
      </w:r>
      <w:r>
        <w:fldChar w:fldCharType="separate"/>
      </w:r>
      <w:r>
        <w:rPr>
          <w:rFonts w:hint="eastAsia" w:ascii="Arial" w:hAnsi="Arial" w:eastAsia="黑体"/>
        </w:rPr>
        <w:t>三、部门决算单位和人员构成</w:t>
      </w:r>
      <w:r>
        <w:tab/>
      </w:r>
      <w:bookmarkStart w:id="4" w:name="_Toc18232_WPSOffice_Level2Page"/>
      <w:r>
        <w:t>2</w:t>
      </w:r>
      <w:bookmarkEnd w:id="4"/>
      <w:r>
        <w:fldChar w:fldCharType="end"/>
      </w:r>
    </w:p>
    <w:bookmarkEnd w:id="0"/>
    <w:p>
      <w:pPr>
        <w:pStyle w:val="9"/>
        <w:tabs>
          <w:tab w:val="right" w:leader="dot" w:pos="9070"/>
        </w:tabs>
      </w:pPr>
      <w:r>
        <w:rPr>
          <w:b/>
          <w:bCs/>
        </w:rPr>
        <w:fldChar w:fldCharType="begin"/>
      </w:r>
      <w:r>
        <w:instrText xml:space="preserve"> HYPERLINK \l _Toc1535_WPSOffice_Level1 </w:instrText>
      </w:r>
      <w:r>
        <w:rPr>
          <w:b/>
          <w:bCs/>
        </w:rPr>
        <w:fldChar w:fldCharType="separate"/>
      </w:r>
      <w:r>
        <w:rPr>
          <w:rFonts w:hint="eastAsia" w:ascii="Times New Roman" w:hAnsi="Times New Roman" w:eastAsia="黑体"/>
          <w:b/>
          <w:bCs/>
        </w:rPr>
        <w:t>第二部分2022年度部门决算公开报表</w:t>
      </w:r>
      <w:r>
        <w:rPr>
          <w:b/>
          <w:bCs/>
        </w:rPr>
        <w:tab/>
      </w:r>
      <w:r>
        <w:rPr>
          <w:rFonts w:hint="eastAsia"/>
          <w:b/>
          <w:bCs/>
          <w:lang w:val="en-US" w:eastAsia="zh-CN"/>
        </w:rPr>
        <w:t>3</w:t>
      </w:r>
      <w:r>
        <w:rPr>
          <w:b/>
          <w:bCs/>
        </w:rPr>
        <w:fldChar w:fldCharType="end"/>
      </w:r>
    </w:p>
    <w:p>
      <w:pPr>
        <w:pStyle w:val="9"/>
        <w:tabs>
          <w:tab w:val="right" w:leader="dot" w:pos="9070"/>
        </w:tabs>
      </w:pPr>
      <w:r>
        <w:rPr>
          <w:b/>
          <w:bCs/>
        </w:rPr>
        <w:fldChar w:fldCharType="begin"/>
      </w:r>
      <w:r>
        <w:instrText xml:space="preserve"> HYPERLINK \l _Toc26299_WPSOffice_Level1 </w:instrText>
      </w:r>
      <w:r>
        <w:rPr>
          <w:b/>
          <w:bCs/>
        </w:rPr>
        <w:fldChar w:fldCharType="separate"/>
      </w:r>
      <w:r>
        <w:rPr>
          <w:rFonts w:hint="eastAsia" w:ascii="Times New Roman" w:hAnsi="Times New Roman" w:eastAsia="黑体"/>
          <w:b/>
          <w:bCs/>
        </w:rPr>
        <w:t>第三部分  2022年度部门决算情况说明</w:t>
      </w:r>
      <w:r>
        <w:rPr>
          <w:b/>
          <w:bCs/>
        </w:rPr>
        <w:tab/>
      </w:r>
      <w:r>
        <w:rPr>
          <w:rFonts w:hint="eastAsia"/>
          <w:b/>
          <w:bCs/>
          <w:lang w:val="en-US" w:eastAsia="zh-CN"/>
        </w:rPr>
        <w:t>3</w:t>
      </w:r>
      <w:r>
        <w:rPr>
          <w:b/>
          <w:bCs/>
        </w:rPr>
        <w:fldChar w:fldCharType="end"/>
      </w:r>
    </w:p>
    <w:p>
      <w:pPr>
        <w:pStyle w:val="10"/>
        <w:tabs>
          <w:tab w:val="right" w:leader="dot" w:pos="9070"/>
        </w:tabs>
      </w:pPr>
      <w:r>
        <w:fldChar w:fldCharType="begin"/>
      </w:r>
      <w:r>
        <w:instrText xml:space="preserve"> HYPERLINK \l _Toc6591_WPSOffice_Level2 </w:instrText>
      </w:r>
      <w:r>
        <w:fldChar w:fldCharType="separate"/>
      </w:r>
      <w:r>
        <w:rPr>
          <w:rFonts w:hint="eastAsia" w:ascii="Arial" w:hAnsi="Arial" w:eastAsia="黑体"/>
        </w:rPr>
        <w:t>一、2022年度收入支出决算总体情况说明</w:t>
      </w:r>
      <w:r>
        <w:tab/>
      </w:r>
      <w:r>
        <w:rPr>
          <w:rFonts w:hint="eastAsia"/>
          <w:lang w:val="en-US" w:eastAsia="zh-CN"/>
        </w:rPr>
        <w:t>3</w:t>
      </w:r>
      <w:r>
        <w:fldChar w:fldCharType="end"/>
      </w:r>
    </w:p>
    <w:p>
      <w:pPr>
        <w:pStyle w:val="10"/>
        <w:tabs>
          <w:tab w:val="right" w:leader="dot" w:pos="9070"/>
        </w:tabs>
      </w:pPr>
      <w:r>
        <w:fldChar w:fldCharType="begin"/>
      </w:r>
      <w:r>
        <w:instrText xml:space="preserve"> HYPERLINK \l _Toc18168_WPSOffice_Level2 </w:instrText>
      </w:r>
      <w:r>
        <w:fldChar w:fldCharType="separate"/>
      </w:r>
      <w:r>
        <w:rPr>
          <w:rFonts w:hint="eastAsia" w:ascii="Arial" w:hAnsi="Arial" w:eastAsia="黑体"/>
        </w:rPr>
        <w:t>二、2022年度收入决算情况说明</w:t>
      </w:r>
      <w:r>
        <w:tab/>
      </w:r>
      <w:r>
        <w:rPr>
          <w:rFonts w:hint="eastAsia"/>
          <w:lang w:val="en-US" w:eastAsia="zh-CN"/>
        </w:rPr>
        <w:t>3</w:t>
      </w:r>
      <w:r>
        <w:fldChar w:fldCharType="end"/>
      </w:r>
    </w:p>
    <w:p>
      <w:pPr>
        <w:pStyle w:val="10"/>
        <w:tabs>
          <w:tab w:val="right" w:leader="dot" w:pos="9070"/>
        </w:tabs>
      </w:pPr>
      <w:r>
        <w:fldChar w:fldCharType="begin"/>
      </w:r>
      <w:r>
        <w:instrText xml:space="preserve"> HYPERLINK \l _Toc23213_WPSOffice_Level2 </w:instrText>
      </w:r>
      <w:r>
        <w:fldChar w:fldCharType="separate"/>
      </w:r>
      <w:r>
        <w:rPr>
          <w:rFonts w:hint="eastAsia" w:ascii="Arial" w:hAnsi="Arial" w:eastAsia="黑体"/>
        </w:rPr>
        <w:t>三、2022年度支出决算情况说明</w:t>
      </w:r>
      <w:r>
        <w:tab/>
      </w:r>
      <w:r>
        <w:rPr>
          <w:rFonts w:hint="eastAsia"/>
          <w:lang w:val="en-US" w:eastAsia="zh-CN"/>
        </w:rPr>
        <w:t>4</w:t>
      </w:r>
      <w:r>
        <w:fldChar w:fldCharType="end"/>
      </w:r>
    </w:p>
    <w:p>
      <w:pPr>
        <w:pStyle w:val="10"/>
        <w:tabs>
          <w:tab w:val="right" w:leader="dot" w:pos="9070"/>
        </w:tabs>
      </w:pPr>
      <w:r>
        <w:fldChar w:fldCharType="begin"/>
      </w:r>
      <w:r>
        <w:instrText xml:space="preserve"> HYPERLINK \l _Toc17123_WPSOffice_Level2 </w:instrText>
      </w:r>
      <w:r>
        <w:fldChar w:fldCharType="separate"/>
      </w:r>
      <w:r>
        <w:rPr>
          <w:rFonts w:hint="eastAsia" w:ascii="Arial" w:hAnsi="Arial" w:eastAsia="黑体"/>
        </w:rPr>
        <w:t>四、2022年度财政拨款收入支出决算情况说明</w:t>
      </w:r>
      <w:r>
        <w:tab/>
      </w:r>
      <w:r>
        <w:rPr>
          <w:rFonts w:hint="eastAsia"/>
          <w:lang w:val="en-US" w:eastAsia="zh-CN"/>
        </w:rPr>
        <w:t>4</w:t>
      </w:r>
      <w:r>
        <w:fldChar w:fldCharType="end"/>
      </w:r>
    </w:p>
    <w:p>
      <w:pPr>
        <w:pStyle w:val="10"/>
        <w:tabs>
          <w:tab w:val="right" w:leader="dot" w:pos="9070"/>
        </w:tabs>
      </w:pPr>
      <w:r>
        <w:fldChar w:fldCharType="begin"/>
      </w:r>
      <w:r>
        <w:instrText xml:space="preserve"> HYPERLINK \l _Toc32755_WPSOffice_Level2 </w:instrText>
      </w:r>
      <w:r>
        <w:fldChar w:fldCharType="separate"/>
      </w:r>
      <w:r>
        <w:rPr>
          <w:rFonts w:hint="eastAsia" w:ascii="Arial" w:hAnsi="Arial" w:eastAsia="黑体"/>
        </w:rPr>
        <w:t>五、2022年度一般公共预算财政拨款支出决算情况说明</w:t>
      </w:r>
      <w:r>
        <w:tab/>
      </w:r>
      <w:r>
        <w:rPr>
          <w:rFonts w:hint="eastAsia"/>
          <w:lang w:val="en-US" w:eastAsia="zh-CN"/>
        </w:rPr>
        <w:t>4</w:t>
      </w:r>
      <w:r>
        <w:fldChar w:fldCharType="end"/>
      </w:r>
    </w:p>
    <w:p>
      <w:pPr>
        <w:pStyle w:val="10"/>
        <w:tabs>
          <w:tab w:val="right" w:leader="dot" w:pos="9070"/>
        </w:tabs>
      </w:pPr>
      <w:r>
        <w:fldChar w:fldCharType="begin"/>
      </w:r>
      <w:r>
        <w:instrText xml:space="preserve"> HYPERLINK \l _Toc2201_WPSOffice_Level2 </w:instrText>
      </w:r>
      <w:r>
        <w:fldChar w:fldCharType="separate"/>
      </w:r>
      <w:r>
        <w:rPr>
          <w:rFonts w:hint="eastAsia" w:ascii="Arial" w:hAnsi="Arial" w:eastAsia="黑体"/>
        </w:rPr>
        <w:t>六、2022年度一般公共预算财政拨款基本支出决算情况说明</w:t>
      </w:r>
      <w:r>
        <w:tab/>
      </w:r>
      <w:r>
        <w:rPr>
          <w:rFonts w:hint="eastAsia"/>
          <w:lang w:val="en-US" w:eastAsia="zh-CN"/>
        </w:rPr>
        <w:t>9</w:t>
      </w:r>
      <w:r>
        <w:fldChar w:fldCharType="end"/>
      </w:r>
    </w:p>
    <w:p>
      <w:pPr>
        <w:pStyle w:val="10"/>
        <w:tabs>
          <w:tab w:val="right" w:leader="dot" w:pos="9070"/>
        </w:tabs>
        <w:rPr>
          <w:rFonts w:hint="eastAsia" w:eastAsia="黑体"/>
          <w:lang w:val="en-US" w:eastAsia="zh-CN"/>
        </w:rPr>
      </w:pPr>
      <w:r>
        <w:fldChar w:fldCharType="begin"/>
      </w:r>
      <w:r>
        <w:instrText xml:space="preserve"> HYPERLINK \l _Toc3159_WPSOffice_Level2 </w:instrText>
      </w:r>
      <w:r>
        <w:fldChar w:fldCharType="separate"/>
      </w:r>
      <w:r>
        <w:rPr>
          <w:rFonts w:hint="eastAsia" w:ascii="Arial" w:hAnsi="Arial" w:eastAsia="黑体"/>
        </w:rPr>
        <w:t>七、2022年度财政拨款“三公”经费支出决算情况说明</w:t>
      </w:r>
      <w:r>
        <w:tab/>
      </w:r>
      <w:r>
        <w:rPr>
          <w:rFonts w:hint="eastAsia"/>
          <w:lang w:val="en-US" w:eastAsia="zh-CN"/>
        </w:rPr>
        <w:t>1</w:t>
      </w:r>
      <w:r>
        <w:fldChar w:fldCharType="end"/>
      </w:r>
      <w:r>
        <w:rPr>
          <w:rFonts w:hint="eastAsia"/>
          <w:lang w:val="en-US" w:eastAsia="zh-CN"/>
        </w:rPr>
        <w:t>0</w:t>
      </w:r>
    </w:p>
    <w:p>
      <w:pPr>
        <w:pStyle w:val="10"/>
        <w:tabs>
          <w:tab w:val="right" w:leader="dot" w:pos="9070"/>
        </w:tabs>
        <w:rPr>
          <w:rFonts w:hint="eastAsia" w:eastAsia="黑体"/>
          <w:lang w:val="en-US" w:eastAsia="zh-CN"/>
        </w:rPr>
      </w:pPr>
      <w:r>
        <w:fldChar w:fldCharType="begin"/>
      </w:r>
      <w:r>
        <w:instrText xml:space="preserve"> HYPERLINK \l _Toc20605_WPSOffice_Level2 </w:instrText>
      </w:r>
      <w:r>
        <w:fldChar w:fldCharType="separate"/>
      </w:r>
      <w:r>
        <w:rPr>
          <w:rFonts w:hint="eastAsia" w:ascii="Arial" w:hAnsi="Arial" w:eastAsia="黑体"/>
        </w:rPr>
        <w:t>八、2022年度政府性基金预算财政拨款收入支出决算情况说明</w:t>
      </w:r>
      <w:r>
        <w:tab/>
      </w:r>
      <w:r>
        <w:rPr>
          <w:rFonts w:hint="eastAsia"/>
          <w:lang w:val="en-US" w:eastAsia="zh-CN"/>
        </w:rPr>
        <w:t>1</w:t>
      </w:r>
      <w:r>
        <w:fldChar w:fldCharType="end"/>
      </w:r>
      <w:r>
        <w:rPr>
          <w:rFonts w:hint="eastAsia"/>
          <w:lang w:val="en-US" w:eastAsia="zh-CN"/>
        </w:rPr>
        <w:t>1</w:t>
      </w:r>
    </w:p>
    <w:p>
      <w:pPr>
        <w:pStyle w:val="10"/>
        <w:tabs>
          <w:tab w:val="right" w:leader="dot" w:pos="9070"/>
        </w:tabs>
        <w:rPr>
          <w:rFonts w:hint="eastAsia" w:eastAsia="黑体"/>
          <w:lang w:val="en-US" w:eastAsia="zh-CN"/>
        </w:rPr>
      </w:pPr>
      <w:r>
        <w:fldChar w:fldCharType="begin"/>
      </w:r>
      <w:r>
        <w:instrText xml:space="preserve"> HYPERLINK \l _Toc23702_WPSOffice_Level2 </w:instrText>
      </w:r>
      <w:r>
        <w:fldChar w:fldCharType="separate"/>
      </w:r>
      <w:r>
        <w:rPr>
          <w:rFonts w:hint="eastAsia" w:ascii="Arial" w:hAnsi="Arial" w:eastAsia="黑体"/>
        </w:rPr>
        <w:t>九、2022年度国有资本经营预算财政拨款收入支出决算情况说明</w:t>
      </w:r>
      <w:r>
        <w:tab/>
      </w:r>
      <w:r>
        <w:rPr>
          <w:rFonts w:hint="eastAsia"/>
          <w:lang w:val="en-US" w:eastAsia="zh-CN"/>
        </w:rPr>
        <w:t>1</w:t>
      </w:r>
      <w:r>
        <w:fldChar w:fldCharType="end"/>
      </w:r>
      <w:r>
        <w:rPr>
          <w:rFonts w:hint="eastAsia"/>
          <w:lang w:val="en-US" w:eastAsia="zh-CN"/>
        </w:rPr>
        <w:t>2</w:t>
      </w:r>
    </w:p>
    <w:p>
      <w:pPr>
        <w:pStyle w:val="10"/>
        <w:tabs>
          <w:tab w:val="right" w:leader="dot" w:pos="9070"/>
        </w:tabs>
        <w:rPr>
          <w:rFonts w:hint="eastAsia" w:eastAsia="黑体"/>
          <w:lang w:val="en-US" w:eastAsia="zh-CN"/>
        </w:rPr>
      </w:pPr>
      <w:r>
        <w:fldChar w:fldCharType="begin"/>
      </w:r>
      <w:r>
        <w:instrText xml:space="preserve"> HYPERLINK \l _Toc6813_WPSOffice_Level2 </w:instrText>
      </w:r>
      <w:r>
        <w:fldChar w:fldCharType="separate"/>
      </w:r>
      <w:r>
        <w:rPr>
          <w:rFonts w:hint="eastAsia" w:ascii="Arial" w:hAnsi="Arial" w:eastAsia="黑体"/>
        </w:rPr>
        <w:t>十、2022年度非财政拨款收支决算情况说明</w:t>
      </w:r>
      <w:r>
        <w:tab/>
      </w:r>
      <w:r>
        <w:rPr>
          <w:rFonts w:hint="eastAsia"/>
          <w:lang w:val="en-US" w:eastAsia="zh-CN"/>
        </w:rPr>
        <w:t>1</w:t>
      </w:r>
      <w:r>
        <w:fldChar w:fldCharType="end"/>
      </w:r>
      <w:r>
        <w:rPr>
          <w:rFonts w:hint="eastAsia"/>
          <w:lang w:val="en-US" w:eastAsia="zh-CN"/>
        </w:rPr>
        <w:t>2</w:t>
      </w:r>
    </w:p>
    <w:p>
      <w:pPr>
        <w:pStyle w:val="10"/>
        <w:tabs>
          <w:tab w:val="right" w:leader="dot" w:pos="9070"/>
        </w:tabs>
        <w:rPr>
          <w:rFonts w:hint="eastAsia" w:eastAsia="黑体"/>
          <w:lang w:val="en-US" w:eastAsia="zh-CN"/>
        </w:rPr>
      </w:pPr>
      <w:r>
        <w:fldChar w:fldCharType="begin"/>
      </w:r>
      <w:r>
        <w:instrText xml:space="preserve"> HYPERLINK \l _Toc13765_WPSOffice_Level2 </w:instrText>
      </w:r>
      <w:r>
        <w:fldChar w:fldCharType="separate"/>
      </w:r>
      <w:r>
        <w:rPr>
          <w:rFonts w:hint="eastAsia" w:ascii="Arial" w:hAnsi="Arial" w:eastAsia="黑体"/>
        </w:rPr>
        <w:t>十一、2022年度机关运行经费支出情况说明</w:t>
      </w:r>
      <w:r>
        <w:tab/>
      </w:r>
      <w:r>
        <w:rPr>
          <w:rFonts w:hint="eastAsia"/>
          <w:lang w:val="en-US" w:eastAsia="zh-CN"/>
        </w:rPr>
        <w:t>1</w:t>
      </w:r>
      <w:r>
        <w:fldChar w:fldCharType="end"/>
      </w:r>
      <w:r>
        <w:rPr>
          <w:rFonts w:hint="eastAsia"/>
          <w:lang w:val="en-US" w:eastAsia="zh-CN"/>
        </w:rPr>
        <w:t>2</w:t>
      </w:r>
    </w:p>
    <w:p>
      <w:pPr>
        <w:pStyle w:val="10"/>
        <w:tabs>
          <w:tab w:val="right" w:leader="dot" w:pos="9070"/>
        </w:tabs>
        <w:rPr>
          <w:rFonts w:hint="eastAsia" w:eastAsia="黑体"/>
          <w:lang w:val="en-US" w:eastAsia="zh-CN"/>
        </w:rPr>
      </w:pPr>
      <w:r>
        <w:fldChar w:fldCharType="begin"/>
      </w:r>
      <w:r>
        <w:instrText xml:space="preserve"> HYPERLINK \l _Toc12295_WPSOffice_Level2 </w:instrText>
      </w:r>
      <w:r>
        <w:fldChar w:fldCharType="separate"/>
      </w:r>
      <w:r>
        <w:rPr>
          <w:rFonts w:hint="eastAsia" w:ascii="Arial" w:hAnsi="Arial" w:eastAsia="黑体"/>
        </w:rPr>
        <w:t>十二、2022年度政府采购支出情况说明</w:t>
      </w:r>
      <w:r>
        <w:tab/>
      </w:r>
      <w:r>
        <w:rPr>
          <w:rFonts w:hint="eastAsia"/>
          <w:lang w:val="en-US" w:eastAsia="zh-CN"/>
        </w:rPr>
        <w:t>1</w:t>
      </w:r>
      <w:r>
        <w:fldChar w:fldCharType="end"/>
      </w:r>
      <w:r>
        <w:rPr>
          <w:rFonts w:hint="eastAsia"/>
          <w:lang w:val="en-US" w:eastAsia="zh-CN"/>
        </w:rPr>
        <w:t>3</w:t>
      </w:r>
    </w:p>
    <w:p>
      <w:pPr>
        <w:pStyle w:val="10"/>
        <w:tabs>
          <w:tab w:val="right" w:leader="dot" w:pos="9070"/>
        </w:tabs>
        <w:rPr>
          <w:rFonts w:hint="eastAsia" w:eastAsia="黑体"/>
          <w:lang w:val="en-US" w:eastAsia="zh-CN"/>
        </w:rPr>
      </w:pPr>
      <w:r>
        <w:fldChar w:fldCharType="begin"/>
      </w:r>
      <w:r>
        <w:instrText xml:space="preserve"> HYPERLINK \l _Toc15294_WPSOffice_Level2 </w:instrText>
      </w:r>
      <w:r>
        <w:fldChar w:fldCharType="separate"/>
      </w:r>
      <w:r>
        <w:rPr>
          <w:rFonts w:hint="eastAsia" w:ascii="Arial" w:hAnsi="Arial" w:eastAsia="黑体"/>
        </w:rPr>
        <w:t>十三、2022年度国有资产占用情况说明</w:t>
      </w:r>
      <w:r>
        <w:tab/>
      </w:r>
      <w:r>
        <w:rPr>
          <w:rFonts w:hint="eastAsia"/>
          <w:lang w:val="en-US" w:eastAsia="zh-CN"/>
        </w:rPr>
        <w:t>1</w:t>
      </w:r>
      <w:r>
        <w:fldChar w:fldCharType="end"/>
      </w:r>
      <w:r>
        <w:rPr>
          <w:rFonts w:hint="eastAsia"/>
          <w:lang w:val="en-US" w:eastAsia="zh-CN"/>
        </w:rPr>
        <w:t>3</w:t>
      </w:r>
    </w:p>
    <w:p>
      <w:pPr>
        <w:pStyle w:val="10"/>
        <w:tabs>
          <w:tab w:val="right" w:leader="dot" w:pos="9070"/>
        </w:tabs>
        <w:rPr>
          <w:rFonts w:hint="eastAsia" w:eastAsia="黑体"/>
          <w:lang w:val="en-US" w:eastAsia="zh-CN"/>
        </w:rPr>
      </w:pPr>
      <w:r>
        <w:fldChar w:fldCharType="begin"/>
      </w:r>
      <w:r>
        <w:instrText xml:space="preserve"> HYPERLINK \l _Toc20499_WPSOffice_Level2 </w:instrText>
      </w:r>
      <w:r>
        <w:fldChar w:fldCharType="separate"/>
      </w:r>
      <w:r>
        <w:rPr>
          <w:rFonts w:hint="eastAsia" w:ascii="Arial" w:hAnsi="Arial" w:eastAsia="黑体"/>
        </w:rPr>
        <w:t>十四、预算绩效情况说明</w:t>
      </w:r>
      <w:r>
        <w:tab/>
      </w:r>
      <w:r>
        <w:rPr>
          <w:rFonts w:hint="eastAsia"/>
          <w:lang w:val="en-US" w:eastAsia="zh-CN"/>
        </w:rPr>
        <w:t>1</w:t>
      </w:r>
      <w:r>
        <w:fldChar w:fldCharType="end"/>
      </w:r>
      <w:r>
        <w:rPr>
          <w:rFonts w:hint="eastAsia"/>
          <w:lang w:val="en-US" w:eastAsia="zh-CN"/>
        </w:rPr>
        <w:t>3</w:t>
      </w:r>
    </w:p>
    <w:p>
      <w:pPr>
        <w:pStyle w:val="9"/>
        <w:tabs>
          <w:tab w:val="right" w:leader="dot" w:pos="9070"/>
        </w:tabs>
      </w:pPr>
      <w:r>
        <w:rPr>
          <w:b/>
          <w:bCs/>
        </w:rPr>
        <w:fldChar w:fldCharType="begin"/>
      </w:r>
      <w:r>
        <w:instrText xml:space="preserve"> HYPERLINK \l _Toc14296_WPSOffice_Level1 </w:instrText>
      </w:r>
      <w:r>
        <w:rPr>
          <w:b/>
          <w:bCs/>
        </w:rPr>
        <w:fldChar w:fldCharType="separate"/>
      </w:r>
      <w:r>
        <w:rPr>
          <w:rFonts w:hint="eastAsia" w:ascii="Times New Roman" w:hAnsi="Times New Roman" w:eastAsia="黑体" w:cs="Times New Roman"/>
          <w:b/>
          <w:bCs/>
        </w:rPr>
        <w:t>第四部分 名词解释</w:t>
      </w:r>
      <w:r>
        <w:rPr>
          <w:b/>
          <w:bCs/>
        </w:rPr>
        <w:tab/>
      </w:r>
      <w:bookmarkStart w:id="5" w:name="_Toc14296_WPSOffice_Level1Page"/>
      <w:r>
        <w:rPr>
          <w:b/>
          <w:bCs/>
        </w:rPr>
        <w:t>1</w:t>
      </w:r>
      <w:bookmarkEnd w:id="5"/>
      <w:r>
        <w:rPr>
          <w:rFonts w:hint="eastAsia"/>
          <w:b/>
          <w:bCs/>
          <w:lang w:val="en-US" w:eastAsia="zh-CN"/>
        </w:rPr>
        <w:t>3</w:t>
      </w:r>
      <w:r>
        <w:rPr>
          <w:b/>
          <w:bCs/>
        </w:rPr>
        <w:fldChar w:fldCharType="end"/>
      </w:r>
    </w:p>
    <w:p>
      <w:pPr>
        <w:pStyle w:val="9"/>
        <w:tabs>
          <w:tab w:val="right" w:leader="dot" w:pos="9070"/>
        </w:tabs>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eastAsia="黑体"/>
          <w:b/>
          <w:sz w:val="28"/>
          <w:szCs w:val="28"/>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eastAsia="黑体"/>
          <w:b/>
          <w:sz w:val="28"/>
          <w:szCs w:val="28"/>
        </w:rPr>
      </w:pPr>
    </w:p>
    <w:p>
      <w:pPr>
        <w:pStyle w:val="2"/>
        <w:pageBreakBefore w:val="0"/>
        <w:kinsoku/>
        <w:wordWrap/>
        <w:overflowPunct/>
        <w:topLinePunct w:val="0"/>
        <w:bidi w:val="0"/>
        <w:snapToGrid/>
        <w:spacing w:before="0" w:beforeLines="0" w:after="0" w:afterLines="0" w:line="580"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rPr>
        <w:sectPr>
          <w:headerReference r:id="rId3" w:type="default"/>
          <w:footerReference r:id="rId4" w:type="default"/>
          <w:pgSz w:w="11906" w:h="16838"/>
          <w:pgMar w:top="2098" w:right="1418" w:bottom="1418" w:left="1418" w:header="851" w:footer="992" w:gutter="0"/>
          <w:pgNumType w:fmt="decimal" w:start="1"/>
          <w:cols w:space="720" w:num="1"/>
          <w:docGrid w:type="lines" w:linePitch="312" w:charSpace="0"/>
        </w:sectPr>
      </w:pPr>
      <w:bookmarkStart w:id="6" w:name="_Toc7881_WPSOffice_Level1"/>
      <w:bookmarkStart w:id="7" w:name="_Toc26225_WPSOffice_Level1"/>
      <w:bookmarkStart w:id="8" w:name="_Toc23881"/>
      <w:bookmarkStart w:id="9" w:name="_Toc26558_WPSOffice_Level1"/>
      <w:bookmarkStart w:id="10" w:name="_Toc3502"/>
    </w:p>
    <w:p>
      <w:pPr>
        <w:rPr>
          <w:rFonts w:hint="eastAsia"/>
        </w:rPr>
      </w:pPr>
    </w:p>
    <w:p>
      <w:pPr>
        <w:pStyle w:val="2"/>
        <w:pageBreakBefore w:val="0"/>
        <w:kinsoku/>
        <w:wordWrap/>
        <w:overflowPunct/>
        <w:topLinePunct w:val="0"/>
        <w:bidi w:val="0"/>
        <w:snapToGrid/>
        <w:spacing w:before="0" w:beforeLines="0" w:after="0" w:afterLines="0" w:line="580"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rPr>
      </w:pPr>
      <w:bookmarkStart w:id="11" w:name="_Toc31801_WPSOffice_Level1"/>
      <w:r>
        <w:rPr>
          <w:rFonts w:hint="eastAsia" w:ascii="方正小标宋简体" w:hAnsi="方正小标宋简体" w:eastAsia="方正小标宋简体" w:cs="方正小标宋简体"/>
          <w:sz w:val="44"/>
          <w:szCs w:val="44"/>
        </w:rPr>
        <w:t>第一部分  部门概况</w:t>
      </w:r>
      <w:bookmarkEnd w:id="6"/>
      <w:bookmarkEnd w:id="7"/>
      <w:bookmarkEnd w:id="8"/>
      <w:bookmarkEnd w:id="9"/>
      <w:bookmarkEnd w:id="10"/>
      <w:bookmarkEnd w:id="11"/>
    </w:p>
    <w:p>
      <w:pPr>
        <w:pageBreakBefore w:val="0"/>
        <w:kinsoku/>
        <w:wordWrap/>
        <w:overflowPunct/>
        <w:topLinePunct w:val="0"/>
        <w:autoSpaceDE w:val="0"/>
        <w:autoSpaceDN w:val="0"/>
        <w:bidi w:val="0"/>
        <w:adjustRightInd w:val="0"/>
        <w:snapToGrid/>
        <w:spacing w:line="580" w:lineRule="exact"/>
        <w:ind w:rightChars="0"/>
        <w:jc w:val="both"/>
        <w:textAlignment w:val="auto"/>
        <w:rPr>
          <w:rFonts w:hint="eastAsia" w:ascii="黑体" w:hAnsi="黑体" w:eastAsia="黑体" w:cs="黑体"/>
          <w:sz w:val="32"/>
          <w:szCs w:val="32"/>
        </w:rPr>
      </w:pPr>
      <w:bookmarkStart w:id="12" w:name="_Toc3243_WPSOffice_Level2"/>
      <w:bookmarkStart w:id="13" w:name="_Toc2363_WPSOffice_Level2"/>
      <w:bookmarkStart w:id="14" w:name="_Toc29717_WPSOffice_Level2"/>
      <w:bookmarkStart w:id="15" w:name="_Toc12327"/>
      <w:bookmarkStart w:id="16" w:name="_Toc25936"/>
      <w:bookmarkStart w:id="17" w:name="_Toc26194_WPSOffice_Level2"/>
      <w:r>
        <w:rPr>
          <w:rFonts w:hint="eastAsia" w:ascii="黑体" w:hAnsi="黑体" w:eastAsia="黑体" w:cs="黑体"/>
          <w:sz w:val="32"/>
          <w:szCs w:val="32"/>
        </w:rPr>
        <w:t>一、部门职责</w:t>
      </w:r>
      <w:bookmarkEnd w:id="12"/>
      <w:bookmarkEnd w:id="13"/>
      <w:bookmarkEnd w:id="14"/>
      <w:bookmarkEnd w:id="15"/>
      <w:bookmarkEnd w:id="16"/>
      <w:bookmarkEnd w:id="17"/>
      <w:bookmarkStart w:id="18" w:name="_Toc24605"/>
      <w:bookmarkStart w:id="19" w:name="_Toc19853"/>
      <w:bookmarkStart w:id="20" w:name="_Toc29011_WPSOffice_Level2"/>
      <w:bookmarkStart w:id="21" w:name="_Toc8059_WPSOffice_Level2"/>
      <w:bookmarkStart w:id="22" w:name="_Toc31956_WPSOffice_Level2"/>
    </w:p>
    <w:p>
      <w:pPr>
        <w:pageBreakBefore w:val="0"/>
        <w:kinsoku/>
        <w:wordWrap/>
        <w:overflowPunct/>
        <w:topLinePunct w:val="0"/>
        <w:autoSpaceDE w:val="0"/>
        <w:autoSpaceDN w:val="0"/>
        <w:bidi w:val="0"/>
        <w:adjustRightInd w:val="0"/>
        <w:snapToGrid/>
        <w:spacing w:line="580" w:lineRule="exact"/>
        <w:ind w:left="0" w:leftChars="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党</w:t>
      </w:r>
      <w:r>
        <w:rPr>
          <w:rFonts w:hint="eastAsia" w:ascii="楷体_GB2312" w:hAnsi="楷体_GB2312" w:eastAsia="楷体_GB2312" w:cs="楷体_GB2312"/>
          <w:sz w:val="32"/>
          <w:szCs w:val="32"/>
          <w:lang w:eastAsia="zh-CN"/>
        </w:rPr>
        <w:t>工</w:t>
      </w:r>
      <w:r>
        <w:rPr>
          <w:rFonts w:hint="eastAsia" w:ascii="楷体_GB2312" w:hAnsi="楷体_GB2312" w:eastAsia="楷体_GB2312" w:cs="楷体_GB2312"/>
          <w:sz w:val="32"/>
          <w:szCs w:val="32"/>
        </w:rPr>
        <w:t>委工作职责：</w:t>
      </w:r>
    </w:p>
    <w:p>
      <w:pPr>
        <w:pageBreakBefore w:val="0"/>
        <w:kinsoku/>
        <w:wordWrap/>
        <w:overflowPunct/>
        <w:topLinePunct w:val="0"/>
        <w:autoSpaceDE w:val="0"/>
        <w:autoSpaceDN w:val="0"/>
        <w:bidi w:val="0"/>
        <w:adjustRightInd w:val="0"/>
        <w:snapToGrid/>
        <w:spacing w:line="580" w:lineRule="exact"/>
        <w:ind w:left="0" w:leftChars="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保证党的路线、方针、政策的坚决贯彻执行。</w:t>
      </w:r>
    </w:p>
    <w:p>
      <w:pPr>
        <w:pageBreakBefore w:val="0"/>
        <w:kinsoku/>
        <w:wordWrap/>
        <w:overflowPunct/>
        <w:topLinePunct w:val="0"/>
        <w:autoSpaceDE w:val="0"/>
        <w:autoSpaceDN w:val="0"/>
        <w:bidi w:val="0"/>
        <w:adjustRightInd w:val="0"/>
        <w:snapToGrid/>
        <w:spacing w:line="580" w:lineRule="exact"/>
        <w:ind w:left="0" w:leftChars="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保证监督职能。</w:t>
      </w:r>
    </w:p>
    <w:p>
      <w:pPr>
        <w:pageBreakBefore w:val="0"/>
        <w:kinsoku/>
        <w:wordWrap/>
        <w:overflowPunct/>
        <w:topLinePunct w:val="0"/>
        <w:autoSpaceDE w:val="0"/>
        <w:autoSpaceDN w:val="0"/>
        <w:bidi w:val="0"/>
        <w:adjustRightInd w:val="0"/>
        <w:snapToGrid/>
        <w:spacing w:line="580" w:lineRule="exact"/>
        <w:ind w:left="0" w:leftChars="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教育和管理职能。</w:t>
      </w:r>
    </w:p>
    <w:p>
      <w:pPr>
        <w:pageBreakBefore w:val="0"/>
        <w:kinsoku/>
        <w:wordWrap/>
        <w:overflowPunct/>
        <w:topLinePunct w:val="0"/>
        <w:autoSpaceDE w:val="0"/>
        <w:autoSpaceDN w:val="0"/>
        <w:bidi w:val="0"/>
        <w:adjustRightInd w:val="0"/>
        <w:snapToGrid/>
        <w:spacing w:line="580" w:lineRule="exact"/>
        <w:ind w:left="0" w:leftChars="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服从和服务于经济建设的职能。</w:t>
      </w:r>
    </w:p>
    <w:p>
      <w:pPr>
        <w:pageBreakBefore w:val="0"/>
        <w:kinsoku/>
        <w:wordWrap/>
        <w:overflowPunct/>
        <w:topLinePunct w:val="0"/>
        <w:autoSpaceDE w:val="0"/>
        <w:autoSpaceDN w:val="0"/>
        <w:bidi w:val="0"/>
        <w:adjustRightInd w:val="0"/>
        <w:snapToGrid/>
        <w:spacing w:line="580" w:lineRule="exact"/>
        <w:ind w:left="0" w:leftChars="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负责抓好本</w:t>
      </w:r>
      <w:r>
        <w:rPr>
          <w:rFonts w:hint="eastAsia" w:ascii="仿宋_GB2312" w:hAnsi="仿宋_GB2312" w:cs="仿宋_GB2312"/>
          <w:sz w:val="32"/>
          <w:szCs w:val="32"/>
          <w:lang w:eastAsia="zh-CN"/>
        </w:rPr>
        <w:t>街道</w:t>
      </w:r>
      <w:r>
        <w:rPr>
          <w:rFonts w:hint="eastAsia" w:ascii="仿宋_GB2312" w:hAnsi="仿宋_GB2312" w:eastAsia="仿宋_GB2312" w:cs="仿宋_GB2312"/>
          <w:sz w:val="32"/>
          <w:szCs w:val="32"/>
        </w:rPr>
        <w:t>党建工作、群团工作、精神文明建设工作、新闻宣传工作。</w:t>
      </w:r>
    </w:p>
    <w:p>
      <w:pPr>
        <w:pageBreakBefore w:val="0"/>
        <w:kinsoku/>
        <w:wordWrap/>
        <w:overflowPunct/>
        <w:topLinePunct w:val="0"/>
        <w:autoSpaceDE w:val="0"/>
        <w:autoSpaceDN w:val="0"/>
        <w:bidi w:val="0"/>
        <w:adjustRightInd w:val="0"/>
        <w:snapToGrid/>
        <w:spacing w:line="580" w:lineRule="exact"/>
        <w:ind w:left="0" w:leftChars="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完成县委、县政府交</w:t>
      </w:r>
      <w:r>
        <w:rPr>
          <w:rFonts w:hint="eastAsia" w:ascii="仿宋_GB2312" w:hAnsi="仿宋_GB2312" w:cs="仿宋_GB2312"/>
          <w:sz w:val="32"/>
          <w:szCs w:val="32"/>
          <w:lang w:eastAsia="zh-CN"/>
        </w:rPr>
        <w:t>办</w:t>
      </w:r>
      <w:r>
        <w:rPr>
          <w:rFonts w:hint="eastAsia" w:ascii="仿宋_GB2312" w:hAnsi="仿宋_GB2312" w:eastAsia="仿宋_GB2312" w:cs="仿宋_GB2312"/>
          <w:sz w:val="32"/>
          <w:szCs w:val="32"/>
        </w:rPr>
        <w:t>的其他工作任务。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街道办</w:t>
      </w:r>
      <w:r>
        <w:rPr>
          <w:rFonts w:hint="eastAsia" w:ascii="楷体_GB2312" w:hAnsi="楷体_GB2312" w:eastAsia="楷体_GB2312" w:cs="楷体_GB2312"/>
          <w:sz w:val="32"/>
          <w:szCs w:val="32"/>
        </w:rPr>
        <w:t>职能：</w:t>
      </w:r>
    </w:p>
    <w:p>
      <w:pPr>
        <w:pageBreakBefore w:val="0"/>
        <w:kinsoku/>
        <w:wordWrap/>
        <w:overflowPunct/>
        <w:topLinePunct w:val="0"/>
        <w:autoSpaceDE w:val="0"/>
        <w:autoSpaceDN w:val="0"/>
        <w:bidi w:val="0"/>
        <w:adjustRightInd w:val="0"/>
        <w:snapToGrid/>
        <w:spacing w:line="580" w:lineRule="exact"/>
        <w:ind w:left="0" w:leftChars="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制定和组织实施经济、科技和社会发展计划，制定资源开发技术改造和产业结构调整方案，组织指导好各业生产，搞好商品流通，协调好本</w:t>
      </w:r>
      <w:r>
        <w:rPr>
          <w:rFonts w:hint="eastAsia" w:ascii="仿宋_GB2312" w:hAnsi="仿宋_GB2312" w:cs="仿宋_GB2312"/>
          <w:sz w:val="32"/>
          <w:szCs w:val="32"/>
          <w:lang w:eastAsia="zh-CN"/>
        </w:rPr>
        <w:t>辖区</w:t>
      </w:r>
      <w:r>
        <w:rPr>
          <w:rFonts w:hint="eastAsia" w:ascii="仿宋_GB2312" w:hAnsi="仿宋_GB2312" w:eastAsia="仿宋_GB2312" w:cs="仿宋_GB2312"/>
          <w:sz w:val="32"/>
          <w:szCs w:val="32"/>
        </w:rPr>
        <w:t>与外地区的经济交流与合作，抓好招商引资，人才引进项目开发，不断培育市场体系，组织经济运行，促进经济发展。</w:t>
      </w:r>
    </w:p>
    <w:p>
      <w:pPr>
        <w:pageBreakBefore w:val="0"/>
        <w:kinsoku/>
        <w:wordWrap/>
        <w:overflowPunct/>
        <w:topLinePunct w:val="0"/>
        <w:autoSpaceDE w:val="0"/>
        <w:autoSpaceDN w:val="0"/>
        <w:bidi w:val="0"/>
        <w:adjustRightInd w:val="0"/>
        <w:snapToGrid/>
        <w:spacing w:line="580" w:lineRule="exact"/>
        <w:ind w:left="0" w:leftChars="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制定并组织实施村镇建设规划，部署重点工程建设，地方道路建设及公共设施，水利设施的管理，负责土地、林木、水等自然资源和生态环境的保护，做好护林防火工作。</w:t>
      </w:r>
    </w:p>
    <w:p>
      <w:pPr>
        <w:pageBreakBefore w:val="0"/>
        <w:kinsoku/>
        <w:wordWrap/>
        <w:overflowPunct/>
        <w:topLinePunct w:val="0"/>
        <w:autoSpaceDE w:val="0"/>
        <w:autoSpaceDN w:val="0"/>
        <w:bidi w:val="0"/>
        <w:adjustRightInd w:val="0"/>
        <w:snapToGrid/>
        <w:spacing w:line="580" w:lineRule="exact"/>
        <w:ind w:left="0" w:leftChars="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pPr>
        <w:pageBreakBefore w:val="0"/>
        <w:kinsoku/>
        <w:wordWrap/>
        <w:overflowPunct/>
        <w:topLinePunct w:val="0"/>
        <w:autoSpaceDE w:val="0"/>
        <w:autoSpaceDN w:val="0"/>
        <w:bidi w:val="0"/>
        <w:adjustRightInd w:val="0"/>
        <w:snapToGrid/>
        <w:spacing w:line="580" w:lineRule="exact"/>
        <w:ind w:left="0" w:leftChars="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按计划组织本级财政收入和地方税的征收，完成国家财政计划，不断培植税源，管好财政资金，增强财政实力。</w:t>
      </w:r>
    </w:p>
    <w:p>
      <w:pPr>
        <w:pageBreakBefore w:val="0"/>
        <w:widowControl w:val="0"/>
        <w:kinsoku/>
        <w:wordWrap/>
        <w:overflowPunct/>
        <w:topLinePunct w:val="0"/>
        <w:autoSpaceDE w:val="0"/>
        <w:autoSpaceDN w:val="0"/>
        <w:bidi w:val="0"/>
        <w:adjustRightInd w:val="0"/>
        <w:snapToGrid/>
        <w:spacing w:line="580" w:lineRule="exact"/>
        <w:ind w:left="0" w:leftChars="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抓好精神文明建设，丰富群众文化生活，提倡移风易俗，反对封建迷信，破除陈规陋习，树立社会主义新风尚。</w:t>
      </w:r>
    </w:p>
    <w:p>
      <w:pPr>
        <w:pageBreakBefore w:val="0"/>
        <w:widowControl w:val="0"/>
        <w:kinsoku/>
        <w:wordWrap/>
        <w:overflowPunct/>
        <w:topLinePunct w:val="0"/>
        <w:autoSpaceDE w:val="0"/>
        <w:autoSpaceDN w:val="0"/>
        <w:bidi w:val="0"/>
        <w:adjustRightInd w:val="0"/>
        <w:snapToGrid/>
        <w:spacing w:line="580" w:lineRule="exact"/>
        <w:ind w:left="0" w:leftChars="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完成上级政府交办的其它事项。</w:t>
      </w:r>
    </w:p>
    <w:p>
      <w:pPr>
        <w:pStyle w:val="3"/>
        <w:pageBreakBefore w:val="0"/>
        <w:widowControl w:val="0"/>
        <w:kinsoku/>
        <w:wordWrap/>
        <w:overflowPunct/>
        <w:topLinePunct w:val="0"/>
        <w:bidi w:val="0"/>
        <w:snapToGrid/>
        <w:spacing w:before="0" w:beforeLines="0" w:after="0" w:afterLines="0" w:line="580" w:lineRule="exact"/>
        <w:textAlignment w:val="auto"/>
        <w:outlineLvl w:val="1"/>
        <w:rPr>
          <w:rFonts w:hint="eastAsia"/>
          <w:sz w:val="32"/>
          <w:szCs w:val="32"/>
        </w:rPr>
      </w:pPr>
      <w:bookmarkStart w:id="23" w:name="_Toc12261_WPSOffice_Level2"/>
      <w:r>
        <w:rPr>
          <w:rFonts w:hint="eastAsia"/>
          <w:sz w:val="32"/>
          <w:szCs w:val="32"/>
        </w:rPr>
        <w:t>二、机构设置</w:t>
      </w:r>
      <w:bookmarkEnd w:id="18"/>
      <w:bookmarkEnd w:id="19"/>
      <w:bookmarkEnd w:id="20"/>
      <w:bookmarkEnd w:id="21"/>
      <w:bookmarkEnd w:id="22"/>
      <w:bookmarkEnd w:id="23"/>
    </w:p>
    <w:p>
      <w:pPr>
        <w:pStyle w:val="3"/>
        <w:pageBreakBefore w:val="0"/>
        <w:widowControl w:val="0"/>
        <w:kinsoku/>
        <w:wordWrap/>
        <w:overflowPunct/>
        <w:topLinePunct w:val="0"/>
        <w:bidi w:val="0"/>
        <w:snapToGrid/>
        <w:spacing w:before="0" w:beforeLines="0" w:after="0" w:afterLines="0" w:line="580" w:lineRule="exact"/>
        <w:ind w:firstLine="643" w:firstLineChars="200"/>
        <w:textAlignment w:val="auto"/>
        <w:outlineLvl w:val="1"/>
        <w:rPr>
          <w:rFonts w:hint="eastAsia" w:ascii="仿宋_GB2312" w:hAnsi="仿宋_GB2312" w:eastAsia="仿宋_GB2312" w:cs="仿宋_GB2312"/>
          <w:b w:val="0"/>
          <w:bCs/>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sz w:val="32"/>
          <w:szCs w:val="32"/>
        </w:rPr>
        <w:t>本单位</w:t>
      </w:r>
      <w:r>
        <w:rPr>
          <w:rFonts w:hint="eastAsia" w:ascii="仿宋_GB2312" w:hAnsi="仿宋_GB2312" w:eastAsia="仿宋_GB2312" w:cs="仿宋_GB2312"/>
          <w:b/>
          <w:bCs/>
          <w:sz w:val="32"/>
          <w:szCs w:val="32"/>
          <w:lang w:eastAsia="zh-CN"/>
        </w:rPr>
        <w:t>（部门）</w:t>
      </w:r>
      <w:r>
        <w:rPr>
          <w:rFonts w:hint="eastAsia" w:ascii="仿宋_GB2312" w:hAnsi="仿宋_GB2312" w:eastAsia="仿宋_GB2312" w:cs="仿宋_GB2312"/>
          <w:b/>
          <w:bCs/>
          <w:sz w:val="32"/>
          <w:szCs w:val="32"/>
          <w:highlight w:val="none"/>
        </w:rPr>
        <w:t>内设</w:t>
      </w:r>
      <w:r>
        <w:rPr>
          <w:rFonts w:hint="eastAsia" w:ascii="仿宋_GB2312" w:hAnsi="仿宋_GB2312" w:eastAsia="仿宋_GB2312" w:cs="仿宋_GB2312"/>
          <w:b/>
          <w:bCs/>
          <w:sz w:val="32"/>
          <w:szCs w:val="32"/>
          <w:highlight w:val="none"/>
          <w:lang w:eastAsia="zh-CN"/>
        </w:rPr>
        <w:t>机构</w:t>
      </w:r>
      <w:r>
        <w:rPr>
          <w:rFonts w:hint="eastAsia" w:ascii="仿宋_GB2312" w:hAnsi="仿宋_GB2312" w:eastAsia="仿宋_GB2312" w:cs="仿宋_GB2312"/>
          <w:b/>
          <w:bCs/>
          <w:sz w:val="32"/>
          <w:szCs w:val="32"/>
          <w:highlight w:val="none"/>
          <w:lang w:val="en-US" w:eastAsia="zh-CN"/>
        </w:rPr>
        <w:t>6</w:t>
      </w:r>
      <w:r>
        <w:rPr>
          <w:rFonts w:hint="eastAsia" w:ascii="仿宋_GB2312" w:hAnsi="仿宋_GB2312" w:eastAsia="仿宋_GB2312" w:cs="仿宋_GB2312"/>
          <w:b/>
          <w:bCs/>
          <w:sz w:val="32"/>
          <w:szCs w:val="32"/>
          <w:highlight w:val="none"/>
        </w:rPr>
        <w:t>个，具体是：</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党政综合</w:t>
      </w:r>
      <w:r>
        <w:rPr>
          <w:rFonts w:hint="eastAsia" w:ascii="仿宋_GB2312" w:hAnsi="仿宋_GB2312" w:eastAsia="仿宋_GB2312" w:cs="仿宋_GB2312"/>
          <w:b w:val="0"/>
          <w:bCs/>
          <w:i w:val="0"/>
          <w:caps w:val="0"/>
          <w:color w:val="auto"/>
          <w:spacing w:val="0"/>
          <w:sz w:val="32"/>
          <w:szCs w:val="32"/>
          <w:highlight w:val="none"/>
          <w:shd w:val="clear" w:color="auto" w:fill="FFFFFF"/>
          <w:lang w:val="en-US" w:eastAsia="zh-CN"/>
        </w:rPr>
        <w:t>办公室、党建工作办公室、社会治理办公室、公共管理办公室、公共安全办公室、公共服务办公室。</w:t>
      </w:r>
    </w:p>
    <w:p>
      <w:pPr>
        <w:pStyle w:val="3"/>
        <w:pageBreakBefore w:val="0"/>
        <w:widowControl w:val="0"/>
        <w:kinsoku/>
        <w:wordWrap/>
        <w:overflowPunct/>
        <w:topLinePunct w:val="0"/>
        <w:autoSpaceDE/>
        <w:autoSpaceDN/>
        <w:bidi w:val="0"/>
        <w:adjustRightInd/>
        <w:snapToGrid/>
        <w:spacing w:before="0" w:beforeLines="0" w:after="0" w:afterLines="0" w:line="580" w:lineRule="exact"/>
        <w:ind w:firstLine="643" w:firstLineChars="200"/>
        <w:textAlignment w:val="auto"/>
        <w:outlineLvl w:val="1"/>
        <w:rPr>
          <w:rFonts w:hint="eastAsia"/>
          <w:sz w:val="32"/>
          <w:szCs w:val="32"/>
          <w:highlight w:val="yellow"/>
        </w:rPr>
      </w:pPr>
      <w:r>
        <w:rPr>
          <w:rFonts w:hint="eastAsia" w:ascii="仿宋_GB2312" w:hAnsi="仿宋_GB2312" w:eastAsia="仿宋_GB2312" w:cs="仿宋_GB2312"/>
          <w:b/>
          <w:bCs/>
          <w:sz w:val="32"/>
          <w:szCs w:val="32"/>
          <w:highlight w:val="none"/>
        </w:rPr>
        <w:t>下属事业单位</w:t>
      </w:r>
      <w:r>
        <w:rPr>
          <w:rFonts w:hint="eastAsia" w:ascii="仿宋_GB2312" w:hAnsi="仿宋_GB2312" w:eastAsia="仿宋_GB2312" w:cs="仿宋_GB2312"/>
          <w:b/>
          <w:bCs/>
          <w:sz w:val="32"/>
          <w:szCs w:val="32"/>
          <w:highlight w:val="none"/>
          <w:lang w:val="en-US" w:eastAsia="zh-CN"/>
        </w:rPr>
        <w:t>5</w:t>
      </w:r>
      <w:r>
        <w:rPr>
          <w:rFonts w:hint="eastAsia" w:ascii="仿宋_GB2312" w:hAnsi="仿宋_GB2312" w:eastAsia="仿宋_GB2312" w:cs="仿宋_GB2312"/>
          <w:b/>
          <w:bCs/>
          <w:sz w:val="32"/>
          <w:szCs w:val="32"/>
          <w:highlight w:val="none"/>
        </w:rPr>
        <w:t>个，具</w:t>
      </w:r>
      <w:r>
        <w:rPr>
          <w:rFonts w:hint="eastAsia" w:ascii="仿宋_GB2312" w:hAnsi="仿宋_GB2312" w:eastAsia="仿宋_GB2312" w:cs="仿宋_GB2312"/>
          <w:b/>
          <w:bCs/>
          <w:sz w:val="32"/>
          <w:szCs w:val="32"/>
        </w:rPr>
        <w:t>体是：</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绥阳县洋川街道党群服务中心、绥阳县洋川街道社区发展服务中心、绥</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阳县洋川街道退役军人服务站、绥阳县洋川街道城镇化建设服务中心、绥阳县洋川街道财政所</w:t>
      </w:r>
      <w:r>
        <w:rPr>
          <w:rFonts w:hint="eastAsia" w:ascii="仿宋_GB2312" w:hAnsi="仿宋_GB2312" w:eastAsia="仿宋_GB2312" w:cs="仿宋_GB2312"/>
          <w:sz w:val="32"/>
          <w:szCs w:val="32"/>
          <w:lang w:val="en-US" w:eastAsia="zh-CN"/>
        </w:rPr>
        <w:t>。</w:t>
      </w:r>
    </w:p>
    <w:p>
      <w:pPr>
        <w:pStyle w:val="3"/>
        <w:pageBreakBefore w:val="0"/>
        <w:widowControl w:val="0"/>
        <w:kinsoku/>
        <w:wordWrap/>
        <w:overflowPunct/>
        <w:topLinePunct w:val="0"/>
        <w:autoSpaceDE/>
        <w:autoSpaceDN/>
        <w:bidi w:val="0"/>
        <w:adjustRightInd/>
        <w:snapToGrid/>
        <w:spacing w:before="0" w:beforeLines="0" w:after="0" w:afterLines="0" w:line="580" w:lineRule="exact"/>
        <w:textAlignment w:val="auto"/>
        <w:outlineLvl w:val="1"/>
        <w:rPr>
          <w:rFonts w:hint="eastAsia"/>
          <w:sz w:val="32"/>
          <w:szCs w:val="32"/>
        </w:rPr>
      </w:pPr>
      <w:bookmarkStart w:id="24" w:name="_Toc18232_WPSOffice_Level2"/>
      <w:bookmarkStart w:id="25" w:name="_Toc2971"/>
      <w:bookmarkStart w:id="26" w:name="_Toc24133_WPSOffice_Level2"/>
      <w:bookmarkStart w:id="27" w:name="_Toc23162"/>
      <w:bookmarkStart w:id="28" w:name="_Toc290_WPSOffice_Level2"/>
      <w:bookmarkStart w:id="29" w:name="_Toc6282_WPSOffice_Level2"/>
      <w:r>
        <w:rPr>
          <w:rFonts w:hint="eastAsia"/>
          <w:sz w:val="32"/>
          <w:szCs w:val="32"/>
        </w:rPr>
        <w:t>三、部门决算单位和人员构成</w:t>
      </w:r>
      <w:bookmarkEnd w:id="24"/>
      <w:bookmarkEnd w:id="25"/>
      <w:bookmarkEnd w:id="26"/>
      <w:bookmarkEnd w:id="27"/>
      <w:bookmarkEnd w:id="28"/>
      <w:bookmarkEnd w:id="29"/>
    </w:p>
    <w:p>
      <w:pPr>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eastAsia" w:ascii="楷体_GB2312" w:hAnsi="楷体_GB2312" w:eastAsia="楷体_GB2312" w:cs="楷体_GB2312"/>
          <w:sz w:val="32"/>
          <w:szCs w:val="32"/>
        </w:rPr>
      </w:pPr>
      <w:bookmarkStart w:id="30" w:name="_Toc9688_WPSOffice_Level3"/>
      <w:r>
        <w:rPr>
          <w:rFonts w:hint="eastAsia" w:ascii="楷体_GB2312" w:hAnsi="楷体_GB2312" w:eastAsia="楷体_GB2312" w:cs="楷体_GB2312"/>
          <w:sz w:val="32"/>
          <w:szCs w:val="32"/>
        </w:rPr>
        <w:t>（一）部门决算单位构成</w:t>
      </w:r>
      <w:bookmarkEnd w:id="30"/>
    </w:p>
    <w:tbl>
      <w:tblPr>
        <w:tblStyle w:val="6"/>
        <w:tblW w:w="92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5367"/>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7" w:hRule="exact"/>
        </w:trPr>
        <w:tc>
          <w:tcPr>
            <w:tcW w:w="946" w:type="dxa"/>
            <w:noWrap w:val="0"/>
            <w:vAlign w:val="top"/>
          </w:tcPr>
          <w:p>
            <w:pPr>
              <w:pageBreakBefore w:val="0"/>
              <w:kinsoku/>
              <w:wordWrap/>
              <w:overflowPunct/>
              <w:topLinePunct w:val="0"/>
              <w:autoSpaceDE w:val="0"/>
              <w:autoSpaceDN w:val="0"/>
              <w:bidi w:val="0"/>
              <w:adjustRightInd w:val="0"/>
              <w:snapToGrid/>
              <w:spacing w:line="580" w:lineRule="exact"/>
              <w:ind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5367" w:type="dxa"/>
            <w:noWrap w:val="0"/>
            <w:vAlign w:val="top"/>
          </w:tcPr>
          <w:p>
            <w:pPr>
              <w:pageBreakBefore w:val="0"/>
              <w:kinsoku/>
              <w:wordWrap/>
              <w:overflowPunct/>
              <w:topLinePunct w:val="0"/>
              <w:autoSpaceDE w:val="0"/>
              <w:autoSpaceDN w:val="0"/>
              <w:bidi w:val="0"/>
              <w:adjustRightInd w:val="0"/>
              <w:snapToGrid/>
              <w:spacing w:line="580" w:lineRule="exact"/>
              <w:ind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2947" w:type="dxa"/>
            <w:noWrap w:val="0"/>
            <w:vAlign w:val="top"/>
          </w:tcPr>
          <w:p>
            <w:pPr>
              <w:pageBreakBefore w:val="0"/>
              <w:kinsoku/>
              <w:wordWrap/>
              <w:overflowPunct/>
              <w:topLinePunct w:val="0"/>
              <w:autoSpaceDE w:val="0"/>
              <w:autoSpaceDN w:val="0"/>
              <w:bidi w:val="0"/>
              <w:adjustRightInd w:val="0"/>
              <w:snapToGrid/>
              <w:spacing w:line="580" w:lineRule="exact"/>
              <w:ind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exact"/>
        </w:trPr>
        <w:tc>
          <w:tcPr>
            <w:tcW w:w="946" w:type="dxa"/>
            <w:noWrap w:val="0"/>
            <w:vAlign w:val="top"/>
          </w:tcPr>
          <w:p>
            <w:pPr>
              <w:pageBreakBefore w:val="0"/>
              <w:kinsoku/>
              <w:wordWrap/>
              <w:overflowPunct/>
              <w:topLinePunct w:val="0"/>
              <w:autoSpaceDE w:val="0"/>
              <w:autoSpaceDN w:val="0"/>
              <w:bidi w:val="0"/>
              <w:adjustRightInd w:val="0"/>
              <w:snapToGrid/>
              <w:spacing w:line="580" w:lineRule="exact"/>
              <w:ind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367" w:type="dxa"/>
            <w:noWrap w:val="0"/>
            <w:vAlign w:val="top"/>
          </w:tcPr>
          <w:p>
            <w:pPr>
              <w:pageBreakBefore w:val="0"/>
              <w:kinsoku/>
              <w:wordWrap/>
              <w:overflowPunct/>
              <w:topLinePunct w:val="0"/>
              <w:autoSpaceDE w:val="0"/>
              <w:autoSpaceDN w:val="0"/>
              <w:bidi w:val="0"/>
              <w:adjustRightInd w:val="0"/>
              <w:snapToGrid/>
              <w:spacing w:line="580" w:lineRule="exact"/>
              <w:ind w:right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绥阳县</w:t>
            </w:r>
            <w:r>
              <w:rPr>
                <w:rFonts w:hint="eastAsia" w:ascii="仿宋_GB2312" w:hAnsi="仿宋_GB2312" w:cs="仿宋_GB2312"/>
                <w:sz w:val="24"/>
                <w:szCs w:val="24"/>
                <w:lang w:eastAsia="zh-CN"/>
              </w:rPr>
              <w:t>洋川街道办事处</w:t>
            </w:r>
          </w:p>
        </w:tc>
        <w:tc>
          <w:tcPr>
            <w:tcW w:w="2947" w:type="dxa"/>
            <w:noWrap w:val="0"/>
            <w:vAlign w:val="top"/>
          </w:tcPr>
          <w:p>
            <w:pPr>
              <w:pageBreakBefore w:val="0"/>
              <w:kinsoku/>
              <w:wordWrap/>
              <w:overflowPunct/>
              <w:topLinePunct w:val="0"/>
              <w:autoSpaceDE w:val="0"/>
              <w:autoSpaceDN w:val="0"/>
              <w:bidi w:val="0"/>
              <w:adjustRightInd w:val="0"/>
              <w:snapToGrid/>
              <w:spacing w:line="580" w:lineRule="exact"/>
              <w:ind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exact"/>
        </w:trPr>
        <w:tc>
          <w:tcPr>
            <w:tcW w:w="946" w:type="dxa"/>
            <w:noWrap w:val="0"/>
            <w:vAlign w:val="top"/>
          </w:tcPr>
          <w:p>
            <w:pPr>
              <w:pageBreakBefore w:val="0"/>
              <w:kinsoku/>
              <w:wordWrap/>
              <w:overflowPunct/>
              <w:topLinePunct w:val="0"/>
              <w:autoSpaceDE w:val="0"/>
              <w:autoSpaceDN w:val="0"/>
              <w:bidi w:val="0"/>
              <w:adjustRightInd w:val="0"/>
              <w:snapToGrid/>
              <w:spacing w:line="580" w:lineRule="exact"/>
              <w:ind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367" w:type="dxa"/>
            <w:noWrap w:val="0"/>
            <w:vAlign w:val="top"/>
          </w:tcPr>
          <w:p>
            <w:pPr>
              <w:pageBreakBefore w:val="0"/>
              <w:kinsoku/>
              <w:wordWrap/>
              <w:overflowPunct/>
              <w:topLinePunct w:val="0"/>
              <w:autoSpaceDE w:val="0"/>
              <w:autoSpaceDN w:val="0"/>
              <w:bidi w:val="0"/>
              <w:adjustRightInd w:val="0"/>
              <w:snapToGrid/>
              <w:spacing w:line="580" w:lineRule="exact"/>
              <w:ind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绥阳县</w:t>
            </w:r>
            <w:r>
              <w:rPr>
                <w:rFonts w:hint="eastAsia" w:ascii="仿宋_GB2312" w:hAnsi="仿宋_GB2312" w:cs="仿宋_GB2312"/>
                <w:sz w:val="24"/>
                <w:szCs w:val="24"/>
                <w:lang w:eastAsia="zh-CN"/>
              </w:rPr>
              <w:t>洋川街道</w:t>
            </w:r>
            <w:r>
              <w:rPr>
                <w:rFonts w:hint="eastAsia" w:ascii="仿宋_GB2312" w:hAnsi="仿宋_GB2312" w:eastAsia="仿宋_GB2312" w:cs="仿宋_GB2312"/>
                <w:sz w:val="24"/>
                <w:szCs w:val="24"/>
              </w:rPr>
              <w:t>财政所</w:t>
            </w:r>
          </w:p>
        </w:tc>
        <w:tc>
          <w:tcPr>
            <w:tcW w:w="2947" w:type="dxa"/>
            <w:noWrap w:val="0"/>
            <w:vAlign w:val="top"/>
          </w:tcPr>
          <w:p>
            <w:pPr>
              <w:pageBreakBefore w:val="0"/>
              <w:kinsoku/>
              <w:wordWrap/>
              <w:overflowPunct/>
              <w:topLinePunct w:val="0"/>
              <w:autoSpaceDE w:val="0"/>
              <w:autoSpaceDN w:val="0"/>
              <w:bidi w:val="0"/>
              <w:adjustRightInd w:val="0"/>
              <w:snapToGrid/>
              <w:spacing w:line="580" w:lineRule="exact"/>
              <w:ind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财政补助事业单位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exact"/>
        </w:trPr>
        <w:tc>
          <w:tcPr>
            <w:tcW w:w="946" w:type="dxa"/>
            <w:noWrap w:val="0"/>
            <w:vAlign w:val="top"/>
          </w:tcPr>
          <w:p>
            <w:pPr>
              <w:pageBreakBefore w:val="0"/>
              <w:kinsoku/>
              <w:wordWrap/>
              <w:overflowPunct/>
              <w:topLinePunct w:val="0"/>
              <w:autoSpaceDE w:val="0"/>
              <w:autoSpaceDN w:val="0"/>
              <w:bidi w:val="0"/>
              <w:adjustRightInd w:val="0"/>
              <w:snapToGrid/>
              <w:spacing w:line="580" w:lineRule="exact"/>
              <w:ind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5367" w:type="dxa"/>
            <w:noWrap w:val="0"/>
            <w:vAlign w:val="top"/>
          </w:tcPr>
          <w:p>
            <w:pPr>
              <w:pageBreakBefore w:val="0"/>
              <w:kinsoku/>
              <w:wordWrap/>
              <w:overflowPunct/>
              <w:topLinePunct w:val="0"/>
              <w:autoSpaceDE w:val="0"/>
              <w:autoSpaceDN w:val="0"/>
              <w:bidi w:val="0"/>
              <w:adjustRightInd w:val="0"/>
              <w:snapToGrid/>
              <w:spacing w:line="580" w:lineRule="exact"/>
              <w:ind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绥阳县洋川街道党群服务中心</w:t>
            </w:r>
          </w:p>
        </w:tc>
        <w:tc>
          <w:tcPr>
            <w:tcW w:w="2947" w:type="dxa"/>
            <w:noWrap w:val="0"/>
            <w:vAlign w:val="top"/>
          </w:tcPr>
          <w:p>
            <w:pPr>
              <w:pageBreakBefore w:val="0"/>
              <w:kinsoku/>
              <w:wordWrap/>
              <w:overflowPunct/>
              <w:topLinePunct w:val="0"/>
              <w:autoSpaceDE w:val="0"/>
              <w:autoSpaceDN w:val="0"/>
              <w:bidi w:val="0"/>
              <w:adjustRightInd w:val="0"/>
              <w:snapToGrid/>
              <w:spacing w:line="580" w:lineRule="exact"/>
              <w:ind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财政补助事业单位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exact"/>
        </w:trPr>
        <w:tc>
          <w:tcPr>
            <w:tcW w:w="946" w:type="dxa"/>
            <w:noWrap w:val="0"/>
            <w:vAlign w:val="top"/>
          </w:tcPr>
          <w:p>
            <w:pPr>
              <w:pageBreakBefore w:val="0"/>
              <w:kinsoku/>
              <w:wordWrap/>
              <w:overflowPunct/>
              <w:topLinePunct w:val="0"/>
              <w:autoSpaceDE w:val="0"/>
              <w:autoSpaceDN w:val="0"/>
              <w:bidi w:val="0"/>
              <w:adjustRightInd w:val="0"/>
              <w:snapToGrid/>
              <w:spacing w:line="580" w:lineRule="exact"/>
              <w:ind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367" w:type="dxa"/>
            <w:noWrap w:val="0"/>
            <w:vAlign w:val="top"/>
          </w:tcPr>
          <w:p>
            <w:pPr>
              <w:pageBreakBefore w:val="0"/>
              <w:kinsoku/>
              <w:wordWrap/>
              <w:overflowPunct/>
              <w:topLinePunct w:val="0"/>
              <w:autoSpaceDE w:val="0"/>
              <w:autoSpaceDN w:val="0"/>
              <w:bidi w:val="0"/>
              <w:adjustRightInd w:val="0"/>
              <w:snapToGrid/>
              <w:spacing w:line="580" w:lineRule="exact"/>
              <w:ind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绥阳县洋川街道社区发展服务中心</w:t>
            </w:r>
          </w:p>
        </w:tc>
        <w:tc>
          <w:tcPr>
            <w:tcW w:w="2947" w:type="dxa"/>
            <w:noWrap w:val="0"/>
            <w:vAlign w:val="top"/>
          </w:tcPr>
          <w:p>
            <w:pPr>
              <w:pageBreakBefore w:val="0"/>
              <w:kinsoku/>
              <w:wordWrap/>
              <w:overflowPunct/>
              <w:topLinePunct w:val="0"/>
              <w:autoSpaceDE w:val="0"/>
              <w:autoSpaceDN w:val="0"/>
              <w:bidi w:val="0"/>
              <w:adjustRightInd w:val="0"/>
              <w:snapToGrid/>
              <w:spacing w:line="580" w:lineRule="exact"/>
              <w:ind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财政补助事业单位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trPr>
        <w:tc>
          <w:tcPr>
            <w:tcW w:w="946" w:type="dxa"/>
            <w:noWrap w:val="0"/>
            <w:vAlign w:val="top"/>
          </w:tcPr>
          <w:p>
            <w:pPr>
              <w:pageBreakBefore w:val="0"/>
              <w:kinsoku/>
              <w:wordWrap/>
              <w:overflowPunct/>
              <w:topLinePunct w:val="0"/>
              <w:autoSpaceDE w:val="0"/>
              <w:autoSpaceDN w:val="0"/>
              <w:bidi w:val="0"/>
              <w:adjustRightInd w:val="0"/>
              <w:snapToGrid/>
              <w:spacing w:line="580" w:lineRule="exact"/>
              <w:ind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5367" w:type="dxa"/>
            <w:noWrap w:val="0"/>
            <w:vAlign w:val="top"/>
          </w:tcPr>
          <w:p>
            <w:pPr>
              <w:pageBreakBefore w:val="0"/>
              <w:kinsoku/>
              <w:wordWrap/>
              <w:overflowPunct/>
              <w:topLinePunct w:val="0"/>
              <w:autoSpaceDE w:val="0"/>
              <w:autoSpaceDN w:val="0"/>
              <w:bidi w:val="0"/>
              <w:adjustRightInd w:val="0"/>
              <w:snapToGrid/>
              <w:spacing w:line="580" w:lineRule="exact"/>
              <w:ind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绥阳县洋川街道城镇化建设服务中心</w:t>
            </w:r>
          </w:p>
        </w:tc>
        <w:tc>
          <w:tcPr>
            <w:tcW w:w="2947" w:type="dxa"/>
            <w:noWrap w:val="0"/>
            <w:vAlign w:val="top"/>
          </w:tcPr>
          <w:p>
            <w:pPr>
              <w:pageBreakBefore w:val="0"/>
              <w:kinsoku/>
              <w:wordWrap/>
              <w:overflowPunct/>
              <w:topLinePunct w:val="0"/>
              <w:autoSpaceDE w:val="0"/>
              <w:autoSpaceDN w:val="0"/>
              <w:bidi w:val="0"/>
              <w:adjustRightInd w:val="0"/>
              <w:snapToGrid/>
              <w:spacing w:line="580" w:lineRule="exact"/>
              <w:ind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财政补助事业单位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exact"/>
        </w:trPr>
        <w:tc>
          <w:tcPr>
            <w:tcW w:w="946" w:type="dxa"/>
            <w:noWrap w:val="0"/>
            <w:vAlign w:val="top"/>
          </w:tcPr>
          <w:p>
            <w:pPr>
              <w:pageBreakBefore w:val="0"/>
              <w:kinsoku/>
              <w:wordWrap/>
              <w:overflowPunct/>
              <w:topLinePunct w:val="0"/>
              <w:autoSpaceDE w:val="0"/>
              <w:autoSpaceDN w:val="0"/>
              <w:bidi w:val="0"/>
              <w:adjustRightInd w:val="0"/>
              <w:snapToGrid/>
              <w:spacing w:line="580" w:lineRule="exact"/>
              <w:ind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5367" w:type="dxa"/>
            <w:noWrap w:val="0"/>
            <w:vAlign w:val="top"/>
          </w:tcPr>
          <w:p>
            <w:pPr>
              <w:pageBreakBefore w:val="0"/>
              <w:kinsoku/>
              <w:wordWrap/>
              <w:overflowPunct/>
              <w:topLinePunct w:val="0"/>
              <w:autoSpaceDE w:val="0"/>
              <w:autoSpaceDN w:val="0"/>
              <w:bidi w:val="0"/>
              <w:adjustRightInd w:val="0"/>
              <w:snapToGrid/>
              <w:spacing w:line="580" w:lineRule="exact"/>
              <w:ind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绥阳县洋川街道退役军人服务站</w:t>
            </w:r>
          </w:p>
        </w:tc>
        <w:tc>
          <w:tcPr>
            <w:tcW w:w="2947" w:type="dxa"/>
            <w:noWrap w:val="0"/>
            <w:vAlign w:val="top"/>
          </w:tcPr>
          <w:p>
            <w:pPr>
              <w:pageBreakBefore w:val="0"/>
              <w:kinsoku/>
              <w:wordWrap/>
              <w:overflowPunct/>
              <w:topLinePunct w:val="0"/>
              <w:autoSpaceDE w:val="0"/>
              <w:autoSpaceDN w:val="0"/>
              <w:bidi w:val="0"/>
              <w:adjustRightInd w:val="0"/>
              <w:snapToGrid/>
              <w:spacing w:line="580" w:lineRule="exact"/>
              <w:ind w:righ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财政补助事业单位</w:t>
            </w:r>
          </w:p>
        </w:tc>
      </w:tr>
    </w:tbl>
    <w:p>
      <w:pPr>
        <w:pageBreakBefore w:val="0"/>
        <w:kinsoku/>
        <w:wordWrap/>
        <w:overflowPunct/>
        <w:topLinePunct w:val="0"/>
        <w:bidi w:val="0"/>
        <w:snapToGrid/>
        <w:spacing w:line="580" w:lineRule="exact"/>
        <w:ind w:firstLine="640" w:firstLineChars="200"/>
        <w:textAlignment w:val="auto"/>
        <w:rPr>
          <w:rFonts w:hint="eastAsia"/>
          <w:sz w:val="32"/>
          <w:szCs w:val="32"/>
        </w:rPr>
      </w:pPr>
      <w:r>
        <w:rPr>
          <w:rFonts w:hint="eastAsia"/>
          <w:sz w:val="32"/>
          <w:szCs w:val="32"/>
        </w:rPr>
        <w:t>注：单位类型划分为行政单位、参照公务员法管理事业单位、财政补助事业单位</w:t>
      </w:r>
      <w:r>
        <w:rPr>
          <w:rFonts w:hint="eastAsia"/>
          <w:sz w:val="32"/>
          <w:szCs w:val="32"/>
          <w:lang w:eastAsia="zh-CN"/>
        </w:rPr>
        <w:t>、</w:t>
      </w:r>
      <w:r>
        <w:rPr>
          <w:rFonts w:hint="eastAsia"/>
          <w:sz w:val="32"/>
          <w:szCs w:val="32"/>
        </w:rPr>
        <w:t>其他单位等</w:t>
      </w:r>
      <w:r>
        <w:rPr>
          <w:rFonts w:hint="eastAsia"/>
          <w:sz w:val="32"/>
          <w:szCs w:val="32"/>
          <w:lang w:eastAsia="zh-CN"/>
        </w:rPr>
        <w:t>四</w:t>
      </w:r>
      <w:r>
        <w:rPr>
          <w:rFonts w:hint="eastAsia"/>
          <w:sz w:val="32"/>
          <w:szCs w:val="32"/>
        </w:rPr>
        <w:t>类，请对照填列。</w:t>
      </w:r>
    </w:p>
    <w:p>
      <w:pPr>
        <w:pageBreakBefore w:val="0"/>
        <w:kinsoku/>
        <w:wordWrap/>
        <w:overflowPunct/>
        <w:topLinePunct w:val="0"/>
        <w:bidi w:val="0"/>
        <w:snapToGrid/>
        <w:spacing w:line="580" w:lineRule="exact"/>
        <w:ind w:firstLine="640" w:firstLineChars="200"/>
        <w:textAlignment w:val="auto"/>
        <w:outlineLvl w:val="2"/>
        <w:rPr>
          <w:rFonts w:hint="eastAsia" w:ascii="楷体_GB2312" w:hAnsi="楷体_GB2312" w:eastAsia="楷体_GB2312" w:cs="楷体_GB2312"/>
          <w:sz w:val="32"/>
          <w:szCs w:val="32"/>
        </w:rPr>
      </w:pPr>
      <w:bookmarkStart w:id="31" w:name="_Toc20689_WPSOffice_Level3"/>
      <w:r>
        <w:rPr>
          <w:rFonts w:hint="eastAsia" w:ascii="楷体_GB2312" w:hAnsi="楷体_GB2312" w:eastAsia="楷体_GB2312" w:cs="楷体_GB2312"/>
          <w:sz w:val="32"/>
          <w:szCs w:val="32"/>
        </w:rPr>
        <w:t>（二）部门人员构成</w:t>
      </w:r>
      <w:bookmarkEnd w:id="31"/>
    </w:p>
    <w:tbl>
      <w:tblPr>
        <w:tblStyle w:val="6"/>
        <w:tblW w:w="9240"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1440"/>
        <w:gridCol w:w="1620"/>
        <w:gridCol w:w="1620"/>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7" w:type="dxa"/>
            <w:vMerge w:val="restart"/>
            <w:noWrap w:val="0"/>
            <w:vAlign w:val="top"/>
          </w:tcPr>
          <w:p>
            <w:pPr>
              <w:pageBreakBefore w:val="0"/>
              <w:kinsoku/>
              <w:wordWrap/>
              <w:overflowPunct/>
              <w:topLinePunct w:val="0"/>
              <w:bidi w:val="0"/>
              <w:snapToGrid/>
              <w:spacing w:line="580" w:lineRule="exact"/>
              <w:textAlignment w:val="auto"/>
              <w:rPr>
                <w:rFonts w:hint="eastAsia"/>
                <w:sz w:val="32"/>
                <w:szCs w:val="32"/>
              </w:rPr>
            </w:pPr>
          </w:p>
          <w:p>
            <w:pPr>
              <w:pageBreakBefore w:val="0"/>
              <w:kinsoku/>
              <w:wordWrap/>
              <w:overflowPunct/>
              <w:topLinePunct w:val="0"/>
              <w:bidi w:val="0"/>
              <w:snapToGrid/>
              <w:spacing w:line="580" w:lineRule="exact"/>
              <w:textAlignment w:val="auto"/>
              <w:rPr>
                <w:rFonts w:hint="eastAsia"/>
                <w:sz w:val="32"/>
                <w:szCs w:val="32"/>
              </w:rPr>
            </w:pPr>
            <w:r>
              <w:rPr>
                <w:rFonts w:hint="eastAsia"/>
                <w:sz w:val="32"/>
                <w:szCs w:val="32"/>
              </w:rPr>
              <w:t>编制数</w:t>
            </w:r>
          </w:p>
        </w:tc>
        <w:tc>
          <w:tcPr>
            <w:tcW w:w="4680" w:type="dxa"/>
            <w:gridSpan w:val="3"/>
            <w:noWrap w:val="0"/>
            <w:vAlign w:val="top"/>
          </w:tcPr>
          <w:p>
            <w:pPr>
              <w:pageBreakBefore w:val="0"/>
              <w:kinsoku/>
              <w:wordWrap/>
              <w:overflowPunct/>
              <w:topLinePunct w:val="0"/>
              <w:bidi w:val="0"/>
              <w:snapToGrid/>
              <w:spacing w:line="580" w:lineRule="exact"/>
              <w:jc w:val="center"/>
              <w:textAlignment w:val="auto"/>
              <w:rPr>
                <w:rFonts w:hint="eastAsia"/>
                <w:sz w:val="32"/>
                <w:szCs w:val="32"/>
              </w:rPr>
            </w:pPr>
            <w:r>
              <w:rPr>
                <w:rFonts w:hint="eastAsia"/>
                <w:sz w:val="32"/>
                <w:szCs w:val="32"/>
              </w:rPr>
              <w:t>在编实有人数</w:t>
            </w:r>
          </w:p>
        </w:tc>
        <w:tc>
          <w:tcPr>
            <w:tcW w:w="2773" w:type="dxa"/>
            <w:vMerge w:val="restart"/>
            <w:noWrap w:val="0"/>
            <w:vAlign w:val="top"/>
          </w:tcPr>
          <w:p>
            <w:pPr>
              <w:pageBreakBefore w:val="0"/>
              <w:kinsoku/>
              <w:wordWrap/>
              <w:overflowPunct/>
              <w:topLinePunct w:val="0"/>
              <w:bidi w:val="0"/>
              <w:snapToGrid/>
              <w:spacing w:line="580" w:lineRule="exact"/>
              <w:jc w:val="center"/>
              <w:textAlignment w:val="auto"/>
              <w:rPr>
                <w:rFonts w:hint="eastAsia"/>
                <w:sz w:val="32"/>
                <w:szCs w:val="32"/>
              </w:rPr>
            </w:pPr>
          </w:p>
          <w:p>
            <w:pPr>
              <w:pageBreakBefore w:val="0"/>
              <w:kinsoku/>
              <w:wordWrap/>
              <w:overflowPunct/>
              <w:topLinePunct w:val="0"/>
              <w:bidi w:val="0"/>
              <w:snapToGrid/>
              <w:spacing w:line="580" w:lineRule="exact"/>
              <w:jc w:val="center"/>
              <w:textAlignment w:val="auto"/>
              <w:rPr>
                <w:rFonts w:hint="eastAsia"/>
                <w:sz w:val="32"/>
                <w:szCs w:val="32"/>
              </w:rPr>
            </w:pPr>
            <w:r>
              <w:rPr>
                <w:rFonts w:hint="eastAsia"/>
                <w:sz w:val="32"/>
                <w:szCs w:val="32"/>
              </w:rPr>
              <w:t>离退休人员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1787" w:type="dxa"/>
            <w:vMerge w:val="continue"/>
            <w:noWrap w:val="0"/>
            <w:vAlign w:val="top"/>
          </w:tcPr>
          <w:p>
            <w:pPr>
              <w:pageBreakBefore w:val="0"/>
              <w:kinsoku/>
              <w:wordWrap/>
              <w:overflowPunct/>
              <w:topLinePunct w:val="0"/>
              <w:bidi w:val="0"/>
              <w:snapToGrid/>
              <w:spacing w:line="580" w:lineRule="exact"/>
              <w:textAlignment w:val="auto"/>
              <w:rPr>
                <w:rFonts w:hint="eastAsia"/>
                <w:sz w:val="32"/>
                <w:szCs w:val="32"/>
              </w:rPr>
            </w:pPr>
          </w:p>
        </w:tc>
        <w:tc>
          <w:tcPr>
            <w:tcW w:w="1440" w:type="dxa"/>
            <w:noWrap w:val="0"/>
            <w:vAlign w:val="top"/>
          </w:tcPr>
          <w:p>
            <w:pPr>
              <w:pageBreakBefore w:val="0"/>
              <w:kinsoku/>
              <w:wordWrap/>
              <w:overflowPunct/>
              <w:topLinePunct w:val="0"/>
              <w:bidi w:val="0"/>
              <w:snapToGrid/>
              <w:spacing w:line="580" w:lineRule="exact"/>
              <w:jc w:val="center"/>
              <w:textAlignment w:val="auto"/>
              <w:rPr>
                <w:rFonts w:hint="eastAsia"/>
                <w:sz w:val="32"/>
                <w:szCs w:val="32"/>
              </w:rPr>
            </w:pPr>
            <w:r>
              <w:rPr>
                <w:rFonts w:hint="eastAsia"/>
                <w:sz w:val="32"/>
                <w:szCs w:val="32"/>
              </w:rPr>
              <w:t>合计</w:t>
            </w:r>
          </w:p>
        </w:tc>
        <w:tc>
          <w:tcPr>
            <w:tcW w:w="1620" w:type="dxa"/>
            <w:noWrap w:val="0"/>
            <w:vAlign w:val="top"/>
          </w:tcPr>
          <w:p>
            <w:pPr>
              <w:pageBreakBefore w:val="0"/>
              <w:kinsoku/>
              <w:wordWrap/>
              <w:overflowPunct/>
              <w:topLinePunct w:val="0"/>
              <w:bidi w:val="0"/>
              <w:snapToGrid/>
              <w:spacing w:line="580" w:lineRule="exact"/>
              <w:jc w:val="center"/>
              <w:textAlignment w:val="auto"/>
              <w:rPr>
                <w:rFonts w:hint="eastAsia"/>
                <w:sz w:val="32"/>
                <w:szCs w:val="32"/>
              </w:rPr>
            </w:pPr>
            <w:r>
              <w:rPr>
                <w:rFonts w:hint="eastAsia"/>
                <w:sz w:val="32"/>
                <w:szCs w:val="32"/>
              </w:rPr>
              <w:t>行政编制</w:t>
            </w:r>
          </w:p>
        </w:tc>
        <w:tc>
          <w:tcPr>
            <w:tcW w:w="1620" w:type="dxa"/>
            <w:noWrap w:val="0"/>
            <w:vAlign w:val="top"/>
          </w:tcPr>
          <w:p>
            <w:pPr>
              <w:pageBreakBefore w:val="0"/>
              <w:kinsoku/>
              <w:wordWrap/>
              <w:overflowPunct/>
              <w:topLinePunct w:val="0"/>
              <w:bidi w:val="0"/>
              <w:snapToGrid/>
              <w:spacing w:line="580" w:lineRule="exact"/>
              <w:jc w:val="center"/>
              <w:textAlignment w:val="auto"/>
              <w:rPr>
                <w:rFonts w:hint="eastAsia"/>
                <w:sz w:val="32"/>
                <w:szCs w:val="32"/>
              </w:rPr>
            </w:pPr>
            <w:r>
              <w:rPr>
                <w:rFonts w:hint="eastAsia"/>
                <w:sz w:val="32"/>
                <w:szCs w:val="32"/>
              </w:rPr>
              <w:t>事业编制</w:t>
            </w:r>
          </w:p>
        </w:tc>
        <w:tc>
          <w:tcPr>
            <w:tcW w:w="2773" w:type="dxa"/>
            <w:vMerge w:val="continue"/>
            <w:noWrap w:val="0"/>
            <w:vAlign w:val="top"/>
          </w:tcPr>
          <w:p>
            <w:pPr>
              <w:pageBreakBefore w:val="0"/>
              <w:kinsoku/>
              <w:wordWrap/>
              <w:overflowPunct/>
              <w:topLinePunct w:val="0"/>
              <w:bidi w:val="0"/>
              <w:snapToGrid/>
              <w:spacing w:line="580" w:lineRule="exact"/>
              <w:textAlignment w:val="auto"/>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787" w:type="dxa"/>
            <w:noWrap w:val="0"/>
            <w:vAlign w:val="top"/>
          </w:tcPr>
          <w:p>
            <w:pPr>
              <w:pageBreakBefore w:val="0"/>
              <w:kinsoku/>
              <w:wordWrap/>
              <w:overflowPunct/>
              <w:topLinePunct w:val="0"/>
              <w:bidi w:val="0"/>
              <w:snapToGrid/>
              <w:spacing w:line="580" w:lineRule="exact"/>
              <w:jc w:val="center"/>
              <w:textAlignment w:val="auto"/>
              <w:rPr>
                <w:rFonts w:hint="default" w:eastAsia="仿宋_GB2312"/>
                <w:sz w:val="32"/>
                <w:szCs w:val="32"/>
                <w:lang w:val="en-US" w:eastAsia="zh-CN"/>
              </w:rPr>
            </w:pPr>
            <w:r>
              <w:rPr>
                <w:rFonts w:hint="eastAsia"/>
                <w:sz w:val="32"/>
                <w:szCs w:val="32"/>
                <w:lang w:val="en-US" w:eastAsia="zh-CN"/>
              </w:rPr>
              <w:t>138</w:t>
            </w:r>
          </w:p>
        </w:tc>
        <w:tc>
          <w:tcPr>
            <w:tcW w:w="1440" w:type="dxa"/>
            <w:noWrap w:val="0"/>
            <w:vAlign w:val="top"/>
          </w:tcPr>
          <w:p>
            <w:pPr>
              <w:pageBreakBefore w:val="0"/>
              <w:kinsoku/>
              <w:wordWrap/>
              <w:overflowPunct/>
              <w:topLinePunct w:val="0"/>
              <w:bidi w:val="0"/>
              <w:snapToGrid/>
              <w:spacing w:line="580" w:lineRule="exact"/>
              <w:jc w:val="center"/>
              <w:textAlignment w:val="auto"/>
              <w:rPr>
                <w:rFonts w:hint="default" w:eastAsia="仿宋_GB2312"/>
                <w:sz w:val="32"/>
                <w:szCs w:val="32"/>
                <w:lang w:val="en-US" w:eastAsia="zh-CN"/>
              </w:rPr>
            </w:pPr>
            <w:r>
              <w:rPr>
                <w:rFonts w:hint="eastAsia"/>
                <w:sz w:val="32"/>
                <w:szCs w:val="32"/>
                <w:lang w:val="en-US" w:eastAsia="zh-CN"/>
              </w:rPr>
              <w:t>126</w:t>
            </w:r>
          </w:p>
        </w:tc>
        <w:tc>
          <w:tcPr>
            <w:tcW w:w="1620" w:type="dxa"/>
            <w:noWrap w:val="0"/>
            <w:vAlign w:val="top"/>
          </w:tcPr>
          <w:p>
            <w:pPr>
              <w:pageBreakBefore w:val="0"/>
              <w:kinsoku/>
              <w:wordWrap/>
              <w:overflowPunct/>
              <w:topLinePunct w:val="0"/>
              <w:bidi w:val="0"/>
              <w:snapToGrid/>
              <w:spacing w:line="580" w:lineRule="exact"/>
              <w:jc w:val="center"/>
              <w:textAlignment w:val="auto"/>
              <w:rPr>
                <w:rFonts w:hint="default" w:eastAsia="仿宋_GB2312"/>
                <w:sz w:val="32"/>
                <w:szCs w:val="32"/>
                <w:lang w:val="en-US" w:eastAsia="zh-CN"/>
              </w:rPr>
            </w:pPr>
            <w:r>
              <w:rPr>
                <w:rFonts w:hint="eastAsia"/>
                <w:sz w:val="32"/>
                <w:szCs w:val="32"/>
                <w:lang w:val="en-US" w:eastAsia="zh-CN"/>
              </w:rPr>
              <w:t>55</w:t>
            </w:r>
          </w:p>
        </w:tc>
        <w:tc>
          <w:tcPr>
            <w:tcW w:w="1620" w:type="dxa"/>
            <w:noWrap w:val="0"/>
            <w:vAlign w:val="top"/>
          </w:tcPr>
          <w:p>
            <w:pPr>
              <w:pageBreakBefore w:val="0"/>
              <w:kinsoku/>
              <w:wordWrap/>
              <w:overflowPunct/>
              <w:topLinePunct w:val="0"/>
              <w:bidi w:val="0"/>
              <w:snapToGrid/>
              <w:spacing w:line="580" w:lineRule="exact"/>
              <w:jc w:val="center"/>
              <w:textAlignment w:val="auto"/>
              <w:rPr>
                <w:rFonts w:hint="default" w:eastAsia="仿宋_GB2312"/>
                <w:sz w:val="32"/>
                <w:szCs w:val="32"/>
                <w:lang w:val="en-US" w:eastAsia="zh-CN"/>
              </w:rPr>
            </w:pPr>
            <w:r>
              <w:rPr>
                <w:rFonts w:hint="eastAsia"/>
                <w:sz w:val="32"/>
                <w:szCs w:val="32"/>
                <w:lang w:val="en-US" w:eastAsia="zh-CN"/>
              </w:rPr>
              <w:t>71</w:t>
            </w:r>
          </w:p>
        </w:tc>
        <w:tc>
          <w:tcPr>
            <w:tcW w:w="2773" w:type="dxa"/>
            <w:noWrap w:val="0"/>
            <w:vAlign w:val="top"/>
          </w:tcPr>
          <w:p>
            <w:pPr>
              <w:pageBreakBefore w:val="0"/>
              <w:kinsoku/>
              <w:wordWrap/>
              <w:overflowPunct/>
              <w:topLinePunct w:val="0"/>
              <w:bidi w:val="0"/>
              <w:snapToGrid/>
              <w:spacing w:line="580" w:lineRule="exact"/>
              <w:jc w:val="center"/>
              <w:textAlignment w:val="auto"/>
              <w:rPr>
                <w:rFonts w:hint="default" w:eastAsia="仿宋_GB2312"/>
                <w:sz w:val="32"/>
                <w:szCs w:val="32"/>
                <w:lang w:val="en-US" w:eastAsia="zh-CN"/>
              </w:rPr>
            </w:pPr>
            <w:r>
              <w:rPr>
                <w:rFonts w:hint="eastAsia"/>
                <w:sz w:val="32"/>
                <w:szCs w:val="32"/>
                <w:lang w:val="en-US" w:eastAsia="zh-CN"/>
              </w:rPr>
              <w:t>101</w:t>
            </w:r>
          </w:p>
        </w:tc>
      </w:tr>
    </w:tbl>
    <w:p>
      <w:pPr>
        <w:pStyle w:val="2"/>
        <w:pageBreakBefore w:val="0"/>
        <w:kinsoku/>
        <w:wordWrap/>
        <w:overflowPunct/>
        <w:topLinePunct w:val="0"/>
        <w:bidi w:val="0"/>
        <w:snapToGrid/>
        <w:spacing w:before="0" w:beforeLines="0" w:after="0" w:afterLines="0" w:line="580" w:lineRule="exact"/>
        <w:textAlignment w:val="auto"/>
        <w:rPr>
          <w:rFonts w:hint="eastAsia" w:ascii="方正小标宋简体" w:hAnsi="方正小标宋简体" w:eastAsia="方正小标宋简体" w:cs="方正小标宋简体"/>
          <w:sz w:val="44"/>
          <w:szCs w:val="44"/>
          <w:lang w:eastAsia="zh-CN"/>
        </w:rPr>
      </w:pPr>
      <w:bookmarkStart w:id="32" w:name="_Toc24719"/>
      <w:bookmarkStart w:id="33" w:name="_Toc213"/>
      <w:bookmarkStart w:id="34" w:name="_Toc9181_WPSOffice_Level1"/>
      <w:bookmarkStart w:id="35" w:name="_Toc15023_WPSOffice_Level1"/>
      <w:bookmarkStart w:id="36" w:name="_Toc16244_WPSOffice_Level1"/>
    </w:p>
    <w:p>
      <w:pPr>
        <w:pStyle w:val="2"/>
        <w:pageBreakBefore w:val="0"/>
        <w:kinsoku/>
        <w:wordWrap/>
        <w:overflowPunct/>
        <w:topLinePunct w:val="0"/>
        <w:bidi w:val="0"/>
        <w:snapToGrid/>
        <w:spacing w:before="0" w:beforeLines="0" w:after="0" w:afterLines="0" w:line="580" w:lineRule="exact"/>
        <w:textAlignment w:val="auto"/>
        <w:rPr>
          <w:rFonts w:hint="eastAsia" w:ascii="方正小标宋简体" w:hAnsi="方正小标宋简体" w:eastAsia="方正小标宋简体" w:cs="方正小标宋简体"/>
          <w:sz w:val="44"/>
          <w:szCs w:val="44"/>
        </w:rPr>
      </w:pPr>
      <w:bookmarkStart w:id="37" w:name="_Toc16940_WPSOffice_Level1"/>
      <w:r>
        <w:rPr>
          <w:rFonts w:hint="eastAsia" w:ascii="方正小标宋简体" w:hAnsi="方正小标宋简体" w:eastAsia="方正小标宋简体" w:cs="方正小标宋简体"/>
          <w:sz w:val="44"/>
          <w:szCs w:val="44"/>
          <w:lang w:eastAsia="zh-CN"/>
        </w:rPr>
        <w:t>第二部分2022</w:t>
      </w:r>
      <w:r>
        <w:rPr>
          <w:rFonts w:hint="eastAsia" w:ascii="方正小标宋简体" w:hAnsi="方正小标宋简体" w:eastAsia="方正小标宋简体" w:cs="方正小标宋简体"/>
          <w:sz w:val="44"/>
          <w:szCs w:val="44"/>
        </w:rPr>
        <w:t>年度部门决算公开报表</w:t>
      </w:r>
      <w:bookmarkEnd w:id="32"/>
      <w:bookmarkEnd w:id="33"/>
      <w:bookmarkEnd w:id="34"/>
      <w:bookmarkEnd w:id="35"/>
      <w:bookmarkEnd w:id="36"/>
      <w:bookmarkEnd w:id="37"/>
      <w:bookmarkStart w:id="38" w:name="_Toc28894"/>
      <w:bookmarkStart w:id="39" w:name="_Toc886_WPSOffice_Level1"/>
      <w:bookmarkStart w:id="40" w:name="_Toc32511_WPSOffice_Level1"/>
      <w:bookmarkStart w:id="41" w:name="_Toc22439"/>
      <w:bookmarkStart w:id="42" w:name="_Toc9815_WPSOffice_Level1"/>
    </w:p>
    <w:p>
      <w:pPr>
        <w:pStyle w:val="2"/>
        <w:pageBreakBefore w:val="0"/>
        <w:kinsoku/>
        <w:wordWrap/>
        <w:overflowPunct/>
        <w:topLinePunct w:val="0"/>
        <w:bidi w:val="0"/>
        <w:snapToGrid/>
        <w:spacing w:before="0" w:beforeLines="0" w:after="0" w:afterLines="0" w:line="580" w:lineRule="exact"/>
        <w:ind w:firstLine="640" w:firstLineChars="200"/>
        <w:jc w:val="both"/>
        <w:textAlignment w:val="auto"/>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公开报表详见附件</w:t>
      </w:r>
    </w:p>
    <w:p>
      <w:pPr>
        <w:pStyle w:val="2"/>
        <w:pageBreakBefore w:val="0"/>
        <w:kinsoku/>
        <w:wordWrap/>
        <w:overflowPunct/>
        <w:topLinePunct w:val="0"/>
        <w:bidi w:val="0"/>
        <w:snapToGrid/>
        <w:spacing w:before="0" w:beforeLines="0" w:after="0" w:afterLines="0" w:line="580" w:lineRule="exact"/>
        <w:ind w:left="0" w:leftChars="0" w:firstLine="1920" w:firstLineChars="600"/>
        <w:jc w:val="both"/>
        <w:textAlignment w:val="auto"/>
        <w:outlineLvl w:val="0"/>
        <w:rPr>
          <w:rFonts w:hint="eastAsia"/>
          <w:sz w:val="32"/>
          <w:szCs w:val="32"/>
        </w:rPr>
      </w:pPr>
    </w:p>
    <w:p>
      <w:pPr>
        <w:pStyle w:val="2"/>
        <w:pageBreakBefore w:val="0"/>
        <w:kinsoku/>
        <w:wordWrap/>
        <w:overflowPunct/>
        <w:topLinePunct w:val="0"/>
        <w:bidi w:val="0"/>
        <w:snapToGrid/>
        <w:spacing w:before="0" w:beforeLines="0" w:after="0" w:afterLines="0" w:line="580" w:lineRule="exact"/>
        <w:jc w:val="center"/>
        <w:textAlignment w:val="auto"/>
        <w:outlineLvl w:val="0"/>
        <w:rPr>
          <w:rFonts w:hint="eastAsia"/>
          <w:sz w:val="32"/>
          <w:szCs w:val="32"/>
        </w:rPr>
      </w:pPr>
      <w:bookmarkStart w:id="43" w:name="_Toc692_WPSOffice_Level1"/>
      <w:r>
        <w:rPr>
          <w:rFonts w:hint="eastAsia" w:ascii="方正小标宋简体" w:hAnsi="方正小标宋简体" w:eastAsia="方正小标宋简体" w:cs="方正小标宋简体"/>
          <w:bCs/>
          <w:sz w:val="44"/>
          <w:szCs w:val="44"/>
          <w:lang w:eastAsia="zh-CN"/>
        </w:rPr>
        <w:t>第三部分  2022年度部门决算情况说明</w:t>
      </w:r>
      <w:bookmarkEnd w:id="38"/>
      <w:bookmarkEnd w:id="39"/>
      <w:bookmarkEnd w:id="40"/>
      <w:bookmarkEnd w:id="41"/>
      <w:bookmarkEnd w:id="42"/>
      <w:bookmarkEnd w:id="43"/>
    </w:p>
    <w:p>
      <w:pPr>
        <w:pStyle w:val="3"/>
        <w:pageBreakBefore w:val="0"/>
        <w:kinsoku/>
        <w:wordWrap/>
        <w:overflowPunct/>
        <w:topLinePunct w:val="0"/>
        <w:bidi w:val="0"/>
        <w:snapToGrid/>
        <w:spacing w:before="0" w:beforeLines="0" w:after="0" w:afterLines="0" w:line="580" w:lineRule="exact"/>
        <w:textAlignment w:val="auto"/>
        <w:outlineLvl w:val="1"/>
        <w:rPr>
          <w:rFonts w:hint="eastAsia" w:ascii="黑体" w:hAnsi="黑体" w:eastAsia="黑体" w:cs="黑体"/>
          <w:sz w:val="32"/>
          <w:szCs w:val="32"/>
        </w:rPr>
      </w:pPr>
      <w:bookmarkStart w:id="44" w:name="_Toc9493_WPSOffice_Level2"/>
      <w:bookmarkStart w:id="45" w:name="_Toc32099_WPSOffice_Level2"/>
      <w:bookmarkStart w:id="46" w:name="_Toc19749"/>
      <w:bookmarkStart w:id="47" w:name="_Toc20420"/>
      <w:bookmarkStart w:id="48" w:name="_Toc4197_WPSOffice_Level2"/>
      <w:r>
        <w:rPr>
          <w:rFonts w:hint="eastAsia" w:ascii="黑体" w:hAnsi="黑体" w:eastAsia="黑体" w:cs="黑体"/>
          <w:sz w:val="32"/>
          <w:szCs w:val="32"/>
        </w:rPr>
        <w:t>一、</w:t>
      </w:r>
      <w:r>
        <w:rPr>
          <w:rFonts w:hint="eastAsia" w:ascii="黑体" w:hAnsi="黑体" w:eastAsia="黑体" w:cs="黑体"/>
          <w:sz w:val="32"/>
          <w:szCs w:val="32"/>
          <w:lang w:eastAsia="zh-CN"/>
        </w:rPr>
        <w:t>2022</w:t>
      </w:r>
      <w:r>
        <w:rPr>
          <w:rFonts w:hint="eastAsia" w:ascii="黑体" w:hAnsi="黑体" w:eastAsia="黑体" w:cs="黑体"/>
          <w:sz w:val="32"/>
          <w:szCs w:val="32"/>
        </w:rPr>
        <w:t>年度收入支出决算总体情况说明</w:t>
      </w:r>
      <w:bookmarkEnd w:id="44"/>
      <w:bookmarkEnd w:id="45"/>
      <w:bookmarkEnd w:id="46"/>
      <w:bookmarkEnd w:id="47"/>
      <w:bookmarkEnd w:id="48"/>
    </w:p>
    <w:p>
      <w:pPr>
        <w:pageBreakBefore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年度收、</w:t>
      </w:r>
      <w:r>
        <w:rPr>
          <w:rFonts w:hint="eastAsia" w:ascii="仿宋_GB2312" w:hAnsi="仿宋_GB2312" w:eastAsia="仿宋_GB2312" w:cs="仿宋_GB2312"/>
          <w:sz w:val="32"/>
          <w:szCs w:val="32"/>
          <w:highlight w:val="none"/>
        </w:rPr>
        <w:t>支总计</w:t>
      </w:r>
      <w:r>
        <w:rPr>
          <w:rFonts w:hint="eastAsia" w:ascii="仿宋_GB2312" w:hAnsi="仿宋_GB2312" w:cs="仿宋_GB2312"/>
          <w:sz w:val="32"/>
          <w:szCs w:val="32"/>
          <w:highlight w:val="none"/>
          <w:lang w:val="en-US" w:eastAsia="zh-CN"/>
        </w:rPr>
        <w:t>2800.59</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与</w:t>
      </w:r>
      <w:r>
        <w:rPr>
          <w:rFonts w:hint="eastAsia" w:ascii="仿宋_GB2312" w:hAnsi="仿宋_GB2312" w:eastAsia="仿宋_GB2312" w:cs="仿宋_GB2312"/>
          <w:sz w:val="32"/>
          <w:szCs w:val="32"/>
          <w:highlight w:val="none"/>
          <w:lang w:eastAsia="zh-CN"/>
        </w:rPr>
        <w:t>2021</w:t>
      </w:r>
      <w:r>
        <w:rPr>
          <w:rFonts w:hint="eastAsia" w:ascii="仿宋_GB2312" w:hAnsi="仿宋_GB2312" w:eastAsia="仿宋_GB2312" w:cs="仿宋_GB2312"/>
          <w:sz w:val="32"/>
          <w:szCs w:val="32"/>
          <w:highlight w:val="none"/>
        </w:rPr>
        <w:t>年相比，增</w:t>
      </w:r>
      <w:r>
        <w:rPr>
          <w:rFonts w:hint="eastAsia" w:ascii="仿宋_GB2312" w:hAnsi="仿宋_GB2312" w:eastAsia="仿宋_GB2312" w:cs="仿宋_GB2312"/>
          <w:sz w:val="32"/>
          <w:szCs w:val="32"/>
        </w:rPr>
        <w:t>加</w:t>
      </w:r>
      <w:r>
        <w:rPr>
          <w:rFonts w:hint="eastAsia" w:ascii="仿宋_GB2312" w:hAnsi="仿宋_GB2312" w:cs="仿宋_GB2312"/>
          <w:sz w:val="32"/>
          <w:szCs w:val="32"/>
          <w:lang w:val="en-US" w:eastAsia="zh-CN"/>
        </w:rPr>
        <w:t>117.23</w:t>
      </w:r>
      <w:r>
        <w:rPr>
          <w:rFonts w:hint="eastAsia" w:ascii="仿宋_GB2312" w:hAnsi="仿宋_GB2312" w:eastAsia="仿宋_GB2312" w:cs="仿宋_GB2312"/>
          <w:color w:val="000000"/>
          <w:sz w:val="32"/>
          <w:szCs w:val="32"/>
          <w:highlight w:val="none"/>
        </w:rPr>
        <w:t>万元，增长</w:t>
      </w:r>
      <w:r>
        <w:rPr>
          <w:rFonts w:hint="eastAsia" w:ascii="仿宋_GB2312" w:hAnsi="仿宋_GB2312" w:cs="仿宋_GB2312"/>
          <w:color w:val="000000"/>
          <w:sz w:val="32"/>
          <w:szCs w:val="32"/>
          <w:highlight w:val="none"/>
          <w:lang w:val="en-US" w:eastAsia="zh-CN"/>
        </w:rPr>
        <w:t>4.37</w:t>
      </w:r>
      <w:r>
        <w:rPr>
          <w:rFonts w:hint="eastAsia" w:ascii="仿宋_GB2312" w:hAnsi="仿宋_GB2312" w:eastAsia="仿宋_GB2312" w:cs="仿宋_GB2312"/>
          <w:color w:val="000000"/>
          <w:sz w:val="32"/>
          <w:szCs w:val="32"/>
          <w:highlight w:val="none"/>
        </w:rPr>
        <w:t>%，主要原因是</w:t>
      </w:r>
      <w:r>
        <w:rPr>
          <w:rFonts w:hint="eastAsia" w:ascii="仿宋_GB2312" w:hAnsi="仿宋_GB2312" w:cs="仿宋_GB2312"/>
          <w:color w:val="000000"/>
          <w:sz w:val="32"/>
          <w:szCs w:val="32"/>
          <w:highlight w:val="none"/>
          <w:lang w:eastAsia="zh-CN"/>
        </w:rPr>
        <w:t>人员增加</w:t>
      </w:r>
      <w:r>
        <w:rPr>
          <w:rFonts w:hint="eastAsia" w:ascii="仿宋_GB2312" w:hAnsi="仿宋_GB2312" w:eastAsia="仿宋_GB2312" w:cs="仿宋_GB2312"/>
          <w:color w:val="000000"/>
          <w:sz w:val="32"/>
          <w:szCs w:val="32"/>
          <w:highlight w:val="none"/>
        </w:rPr>
        <w:t>，同时1月份普调工资（人均300</w:t>
      </w:r>
      <w:r>
        <w:rPr>
          <w:rFonts w:hint="eastAsia" w:ascii="仿宋_GB2312" w:hAnsi="仿宋_GB2312" w:eastAsia="仿宋_GB2312" w:cs="仿宋_GB2312"/>
          <w:color w:val="000000"/>
          <w:sz w:val="32"/>
          <w:szCs w:val="32"/>
          <w:highlight w:val="none"/>
          <w:lang w:eastAsia="zh-CN"/>
        </w:rPr>
        <w:t>元</w:t>
      </w:r>
      <w:r>
        <w:rPr>
          <w:rFonts w:hint="eastAsia" w:ascii="仿宋_GB2312" w:hAnsi="仿宋_GB2312" w:eastAsia="仿宋_GB2312" w:cs="仿宋_GB2312"/>
          <w:color w:val="000000"/>
          <w:sz w:val="32"/>
          <w:szCs w:val="32"/>
          <w:highlight w:val="none"/>
        </w:rPr>
        <w:t>），导致本年度人员经费增多，本年支出增加。</w:t>
      </w:r>
    </w:p>
    <w:p>
      <w:pPr>
        <w:pStyle w:val="3"/>
        <w:pageBreakBefore w:val="0"/>
        <w:kinsoku/>
        <w:wordWrap/>
        <w:overflowPunct/>
        <w:topLinePunct w:val="0"/>
        <w:bidi w:val="0"/>
        <w:snapToGrid/>
        <w:spacing w:before="0" w:beforeLines="0" w:after="0" w:afterLines="0" w:line="580" w:lineRule="exact"/>
        <w:textAlignment w:val="auto"/>
        <w:outlineLvl w:val="1"/>
        <w:rPr>
          <w:rFonts w:hint="eastAsia" w:ascii="黑体" w:hAnsi="黑体" w:eastAsia="黑体" w:cs="黑体"/>
          <w:sz w:val="32"/>
          <w:szCs w:val="32"/>
        </w:rPr>
      </w:pPr>
      <w:bookmarkStart w:id="49" w:name="_Toc11316_WPSOffice_Level2"/>
      <w:bookmarkStart w:id="50" w:name="_Toc14435_WPSOffice_Level2"/>
      <w:bookmarkStart w:id="51" w:name="_Toc29208"/>
      <w:bookmarkStart w:id="52" w:name="_Toc32291"/>
      <w:bookmarkStart w:id="53" w:name="_Toc3876_WPSOffice_Level2"/>
      <w:r>
        <w:rPr>
          <w:rFonts w:hint="eastAsia" w:ascii="黑体" w:hAnsi="黑体" w:eastAsia="黑体" w:cs="黑体"/>
          <w:sz w:val="32"/>
          <w:szCs w:val="32"/>
        </w:rPr>
        <w:t>二、</w:t>
      </w:r>
      <w:r>
        <w:rPr>
          <w:rFonts w:hint="eastAsia" w:ascii="黑体" w:hAnsi="黑体" w:eastAsia="黑体" w:cs="黑体"/>
          <w:sz w:val="32"/>
          <w:szCs w:val="32"/>
          <w:lang w:eastAsia="zh-CN"/>
        </w:rPr>
        <w:t>2022</w:t>
      </w:r>
      <w:r>
        <w:rPr>
          <w:rFonts w:hint="eastAsia" w:ascii="黑体" w:hAnsi="黑体" w:eastAsia="黑体" w:cs="黑体"/>
          <w:sz w:val="32"/>
          <w:szCs w:val="32"/>
        </w:rPr>
        <w:t>年度收入决算情况说明</w:t>
      </w:r>
      <w:bookmarkEnd w:id="49"/>
      <w:bookmarkEnd w:id="50"/>
      <w:bookmarkEnd w:id="51"/>
      <w:bookmarkEnd w:id="52"/>
      <w:bookmarkEnd w:id="53"/>
    </w:p>
    <w:p>
      <w:pPr>
        <w:pageBreakBefore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本年收入合计</w:t>
      </w:r>
      <w:r>
        <w:rPr>
          <w:rFonts w:hint="eastAsia" w:ascii="仿宋_GB2312" w:hAnsi="仿宋_GB2312" w:cs="仿宋_GB2312"/>
          <w:color w:val="000000"/>
          <w:sz w:val="32"/>
          <w:szCs w:val="32"/>
          <w:highlight w:val="none"/>
          <w:lang w:val="en-US" w:eastAsia="zh-CN"/>
        </w:rPr>
        <w:t>2800.59</w:t>
      </w:r>
      <w:r>
        <w:rPr>
          <w:rFonts w:hint="eastAsia" w:ascii="仿宋_GB2312" w:hAnsi="仿宋_GB2312" w:eastAsia="仿宋_GB2312" w:cs="仿宋_GB2312"/>
          <w:color w:val="000000"/>
          <w:sz w:val="32"/>
          <w:szCs w:val="32"/>
          <w:highlight w:val="none"/>
        </w:rPr>
        <w:t>万元，其中：财政拨款收入</w:t>
      </w:r>
      <w:r>
        <w:rPr>
          <w:rFonts w:hint="eastAsia" w:ascii="仿宋_GB2312" w:hAnsi="仿宋_GB2312" w:cs="仿宋_GB2312"/>
          <w:color w:val="000000"/>
          <w:sz w:val="32"/>
          <w:szCs w:val="32"/>
          <w:highlight w:val="none"/>
          <w:lang w:val="en-US" w:eastAsia="zh-CN"/>
        </w:rPr>
        <w:t>2800.59</w:t>
      </w:r>
      <w:r>
        <w:rPr>
          <w:rFonts w:hint="eastAsia" w:ascii="仿宋_GB2312" w:hAnsi="仿宋_GB2312" w:eastAsia="仿宋_GB2312" w:cs="仿宋_GB2312"/>
          <w:color w:val="000000"/>
          <w:sz w:val="32"/>
          <w:szCs w:val="32"/>
          <w:highlight w:val="none"/>
        </w:rPr>
        <w:t>万元，占</w:t>
      </w:r>
      <w:r>
        <w:rPr>
          <w:rFonts w:hint="eastAsia" w:ascii="仿宋_GB2312" w:hAnsi="仿宋_GB2312" w:eastAsia="仿宋_GB2312" w:cs="仿宋_GB2312"/>
          <w:color w:val="000000"/>
          <w:sz w:val="32"/>
          <w:szCs w:val="32"/>
          <w:highlight w:val="none"/>
          <w:lang w:val="en-US" w:eastAsia="zh-CN"/>
        </w:rPr>
        <w:t>100</w:t>
      </w:r>
      <w:r>
        <w:rPr>
          <w:rFonts w:hint="eastAsia" w:ascii="仿宋_GB2312" w:hAnsi="仿宋_GB2312" w:eastAsia="仿宋_GB2312" w:cs="仿宋_GB2312"/>
          <w:color w:val="000000"/>
          <w:sz w:val="32"/>
          <w:szCs w:val="32"/>
          <w:highlight w:val="none"/>
        </w:rPr>
        <w:t>%；上级补助收入</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万元，占</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%；事业收入</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万元，占</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%；经营收入</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万元，占</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%；附属单位上缴收入</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万元，占</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其他收入</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万元，占</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w:t>
      </w:r>
    </w:p>
    <w:p>
      <w:pPr>
        <w:pStyle w:val="3"/>
        <w:pageBreakBefore w:val="0"/>
        <w:kinsoku/>
        <w:wordWrap/>
        <w:overflowPunct/>
        <w:topLinePunct w:val="0"/>
        <w:bidi w:val="0"/>
        <w:snapToGrid/>
        <w:spacing w:before="0" w:beforeLines="0" w:after="0" w:afterLines="0" w:line="580" w:lineRule="exact"/>
        <w:textAlignment w:val="auto"/>
        <w:outlineLvl w:val="1"/>
        <w:rPr>
          <w:rFonts w:hint="eastAsia" w:ascii="黑体" w:hAnsi="黑体" w:eastAsia="黑体" w:cs="黑体"/>
          <w:sz w:val="32"/>
          <w:szCs w:val="32"/>
        </w:rPr>
      </w:pPr>
      <w:bookmarkStart w:id="54" w:name="_Toc23740_WPSOffice_Level2"/>
      <w:bookmarkStart w:id="55" w:name="_Toc21464_WPSOffice_Level2"/>
      <w:bookmarkStart w:id="56" w:name="_Toc6751_WPSOffice_Level2"/>
      <w:bookmarkStart w:id="57" w:name="_Toc22811"/>
      <w:bookmarkStart w:id="58" w:name="_Toc3792"/>
      <w:r>
        <w:rPr>
          <w:rFonts w:hint="eastAsia" w:ascii="黑体" w:hAnsi="黑体" w:eastAsia="黑体" w:cs="黑体"/>
          <w:sz w:val="32"/>
          <w:szCs w:val="32"/>
        </w:rPr>
        <w:t>三、</w:t>
      </w:r>
      <w:r>
        <w:rPr>
          <w:rFonts w:hint="eastAsia" w:ascii="黑体" w:hAnsi="黑体" w:eastAsia="黑体" w:cs="黑体"/>
          <w:sz w:val="32"/>
          <w:szCs w:val="32"/>
          <w:lang w:eastAsia="zh-CN"/>
        </w:rPr>
        <w:t>2022</w:t>
      </w:r>
      <w:r>
        <w:rPr>
          <w:rFonts w:hint="eastAsia" w:ascii="黑体" w:hAnsi="黑体" w:eastAsia="黑体" w:cs="黑体"/>
          <w:sz w:val="32"/>
          <w:szCs w:val="32"/>
        </w:rPr>
        <w:t>年度支出决算情况说明</w:t>
      </w:r>
      <w:bookmarkEnd w:id="54"/>
      <w:bookmarkEnd w:id="55"/>
      <w:bookmarkEnd w:id="56"/>
      <w:bookmarkEnd w:id="57"/>
      <w:bookmarkEnd w:id="58"/>
    </w:p>
    <w:p>
      <w:pPr>
        <w:pageBreakBefore w:val="0"/>
        <w:kinsoku/>
        <w:wordWrap/>
        <w:overflowPunct/>
        <w:topLinePunct w:val="0"/>
        <w:bidi w:val="0"/>
        <w:snapToGrid/>
        <w:spacing w:line="58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本年支出合计</w:t>
      </w:r>
      <w:r>
        <w:rPr>
          <w:rFonts w:hint="eastAsia" w:ascii="仿宋_GB2312"/>
          <w:sz w:val="32"/>
          <w:szCs w:val="32"/>
          <w:highlight w:val="none"/>
          <w:lang w:val="en-US" w:eastAsia="zh-CN"/>
        </w:rPr>
        <w:t>2800.59</w:t>
      </w:r>
      <w:r>
        <w:rPr>
          <w:rFonts w:hint="eastAsia" w:ascii="仿宋_GB2312" w:hAnsi="华文中宋" w:eastAsia="仿宋_GB2312"/>
          <w:sz w:val="32"/>
          <w:szCs w:val="32"/>
          <w:highlight w:val="none"/>
        </w:rPr>
        <w:t>万元，其中：</w:t>
      </w:r>
      <w:r>
        <w:rPr>
          <w:rFonts w:hint="eastAsia" w:ascii="仿宋_GB2312" w:eastAsia="仿宋_GB2312"/>
          <w:sz w:val="32"/>
          <w:szCs w:val="32"/>
          <w:highlight w:val="none"/>
        </w:rPr>
        <w:t>基本支出</w:t>
      </w:r>
      <w:r>
        <w:rPr>
          <w:rFonts w:hint="eastAsia" w:ascii="仿宋_GB2312"/>
          <w:sz w:val="32"/>
          <w:szCs w:val="32"/>
          <w:highlight w:val="none"/>
          <w:lang w:val="en-US" w:eastAsia="zh-CN"/>
        </w:rPr>
        <w:t>2587.67</w:t>
      </w:r>
      <w:r>
        <w:rPr>
          <w:rFonts w:hint="eastAsia" w:ascii="仿宋_GB2312" w:eastAsia="仿宋_GB2312"/>
          <w:sz w:val="32"/>
          <w:szCs w:val="32"/>
          <w:highlight w:val="none"/>
        </w:rPr>
        <w:t>万元，占</w:t>
      </w:r>
      <w:r>
        <w:rPr>
          <w:rFonts w:hint="eastAsia" w:ascii="仿宋_GB2312"/>
          <w:sz w:val="32"/>
          <w:szCs w:val="32"/>
          <w:highlight w:val="none"/>
          <w:lang w:val="en-US" w:eastAsia="zh-CN"/>
        </w:rPr>
        <w:t>92.40</w:t>
      </w:r>
      <w:r>
        <w:rPr>
          <w:rFonts w:hint="eastAsia" w:ascii="仿宋_GB2312" w:eastAsia="仿宋_GB2312"/>
          <w:sz w:val="32"/>
          <w:szCs w:val="32"/>
          <w:highlight w:val="none"/>
        </w:rPr>
        <w:t xml:space="preserve">%;项目支出 </w:t>
      </w:r>
      <w:r>
        <w:rPr>
          <w:rFonts w:hint="eastAsia" w:ascii="仿宋_GB2312"/>
          <w:sz w:val="32"/>
          <w:szCs w:val="32"/>
          <w:highlight w:val="none"/>
          <w:lang w:val="en-US" w:eastAsia="zh-CN"/>
        </w:rPr>
        <w:t>212.92</w:t>
      </w:r>
      <w:r>
        <w:rPr>
          <w:rFonts w:hint="eastAsia" w:ascii="仿宋_GB2312" w:eastAsia="仿宋_GB2312"/>
          <w:sz w:val="32"/>
          <w:szCs w:val="32"/>
          <w:highlight w:val="none"/>
        </w:rPr>
        <w:t>万元，占</w:t>
      </w:r>
      <w:r>
        <w:rPr>
          <w:rFonts w:hint="eastAsia" w:ascii="仿宋_GB2312"/>
          <w:sz w:val="32"/>
          <w:szCs w:val="32"/>
          <w:highlight w:val="none"/>
          <w:lang w:val="en-US" w:eastAsia="zh-CN"/>
        </w:rPr>
        <w:t>7.60</w:t>
      </w:r>
      <w:r>
        <w:rPr>
          <w:rFonts w:hint="eastAsia" w:ascii="仿宋_GB2312" w:eastAsia="仿宋_GB2312"/>
          <w:sz w:val="32"/>
          <w:szCs w:val="32"/>
          <w:highlight w:val="none"/>
        </w:rPr>
        <w:t xml:space="preserve">%；上缴上级支出 </w:t>
      </w:r>
      <w:r>
        <w:rPr>
          <w:rFonts w:hint="eastAsia" w:ascii="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sz w:val="32"/>
          <w:szCs w:val="32"/>
          <w:highlight w:val="none"/>
          <w:lang w:val="en-US" w:eastAsia="zh-CN"/>
        </w:rPr>
        <w:t>0</w:t>
      </w:r>
      <w:r>
        <w:rPr>
          <w:rFonts w:hint="eastAsia" w:ascii="仿宋_GB2312" w:eastAsia="仿宋_GB2312"/>
          <w:sz w:val="32"/>
          <w:szCs w:val="32"/>
          <w:highlight w:val="none"/>
        </w:rPr>
        <w:t>%;经营支出</w:t>
      </w:r>
      <w:r>
        <w:rPr>
          <w:rFonts w:hint="eastAsia" w:ascii="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sz w:val="32"/>
          <w:szCs w:val="32"/>
          <w:highlight w:val="none"/>
          <w:lang w:val="en-US" w:eastAsia="zh-CN"/>
        </w:rPr>
        <w:t>0</w:t>
      </w:r>
      <w:r>
        <w:rPr>
          <w:rFonts w:hint="eastAsia" w:ascii="仿宋_GB2312" w:eastAsia="仿宋_GB2312"/>
          <w:sz w:val="32"/>
          <w:szCs w:val="32"/>
          <w:highlight w:val="none"/>
        </w:rPr>
        <w:t xml:space="preserve">%;对附属单位补助支出 </w:t>
      </w:r>
      <w:r>
        <w:rPr>
          <w:rFonts w:hint="eastAsia" w:ascii="仿宋_GB2312"/>
          <w:sz w:val="32"/>
          <w:szCs w:val="32"/>
          <w:highlight w:val="none"/>
          <w:lang w:val="en-US" w:eastAsia="zh-CN"/>
        </w:rPr>
        <w:t>0</w:t>
      </w:r>
      <w:r>
        <w:rPr>
          <w:rFonts w:hint="eastAsia" w:ascii="仿宋_GB2312" w:eastAsia="仿宋_GB2312"/>
          <w:sz w:val="32"/>
          <w:szCs w:val="32"/>
          <w:highlight w:val="none"/>
        </w:rPr>
        <w:t xml:space="preserve"> 万元，占</w:t>
      </w:r>
      <w:r>
        <w:rPr>
          <w:rFonts w:hint="eastAsia" w:ascii="仿宋_GB2312"/>
          <w:sz w:val="32"/>
          <w:szCs w:val="32"/>
          <w:highlight w:val="none"/>
          <w:lang w:val="en-US" w:eastAsia="zh-CN"/>
        </w:rPr>
        <w:t>0</w:t>
      </w:r>
      <w:r>
        <w:rPr>
          <w:rFonts w:hint="eastAsia" w:ascii="仿宋_GB2312" w:eastAsia="仿宋_GB2312"/>
          <w:sz w:val="32"/>
          <w:szCs w:val="32"/>
          <w:highlight w:val="none"/>
        </w:rPr>
        <w:t>%。</w:t>
      </w:r>
    </w:p>
    <w:p>
      <w:pPr>
        <w:pStyle w:val="3"/>
        <w:pageBreakBefore w:val="0"/>
        <w:kinsoku/>
        <w:wordWrap/>
        <w:overflowPunct/>
        <w:topLinePunct w:val="0"/>
        <w:bidi w:val="0"/>
        <w:snapToGrid/>
        <w:spacing w:before="0" w:beforeLines="0" w:after="0" w:afterLines="0" w:line="580" w:lineRule="exact"/>
        <w:textAlignment w:val="auto"/>
        <w:outlineLvl w:val="1"/>
        <w:rPr>
          <w:rFonts w:hint="eastAsia" w:ascii="黑体" w:hAnsi="黑体" w:eastAsia="黑体" w:cs="黑体"/>
          <w:sz w:val="32"/>
          <w:szCs w:val="32"/>
        </w:rPr>
      </w:pPr>
      <w:bookmarkStart w:id="59" w:name="_Toc9592_WPSOffice_Level2"/>
      <w:bookmarkStart w:id="60" w:name="_Toc10649"/>
      <w:bookmarkStart w:id="61" w:name="_Toc22769"/>
      <w:bookmarkStart w:id="62" w:name="_Toc18454_WPSOffice_Level2"/>
      <w:bookmarkStart w:id="63" w:name="_Toc4312_WPSOffice_Level2"/>
      <w:r>
        <w:rPr>
          <w:rFonts w:hint="eastAsia" w:ascii="黑体" w:hAnsi="黑体" w:eastAsia="黑体" w:cs="黑体"/>
          <w:sz w:val="32"/>
          <w:szCs w:val="32"/>
        </w:rPr>
        <w:t>四、</w:t>
      </w:r>
      <w:r>
        <w:rPr>
          <w:rFonts w:hint="eastAsia" w:ascii="黑体" w:hAnsi="黑体" w:eastAsia="黑体" w:cs="黑体"/>
          <w:sz w:val="32"/>
          <w:szCs w:val="32"/>
          <w:lang w:eastAsia="zh-CN"/>
        </w:rPr>
        <w:t>2022</w:t>
      </w:r>
      <w:r>
        <w:rPr>
          <w:rFonts w:hint="eastAsia" w:ascii="黑体" w:hAnsi="黑体" w:eastAsia="黑体" w:cs="黑体"/>
          <w:sz w:val="32"/>
          <w:szCs w:val="32"/>
        </w:rPr>
        <w:t>年度财政拨款收入支出决算情况说明</w:t>
      </w:r>
      <w:bookmarkEnd w:id="59"/>
      <w:bookmarkEnd w:id="60"/>
      <w:bookmarkEnd w:id="61"/>
      <w:bookmarkEnd w:id="62"/>
      <w:bookmarkEnd w:id="63"/>
    </w:p>
    <w:p>
      <w:pPr>
        <w:pageBreakBefore w:val="0"/>
        <w:kinsoku/>
        <w:wordWrap/>
        <w:overflowPunct/>
        <w:topLinePunct w:val="0"/>
        <w:bidi w:val="0"/>
        <w:snapToGrid/>
        <w:spacing w:line="580" w:lineRule="exact"/>
        <w:ind w:firstLine="640" w:firstLineChars="200"/>
        <w:textAlignment w:val="auto"/>
        <w:rPr>
          <w:rFonts w:hint="eastAsia" w:ascii="仿宋_GB2312" w:eastAsia="仿宋_GB2312"/>
          <w:sz w:val="32"/>
          <w:szCs w:val="32"/>
        </w:rPr>
      </w:pPr>
      <w:r>
        <w:rPr>
          <w:rFonts w:hint="eastAsia" w:ascii="仿宋_GB2312"/>
          <w:sz w:val="32"/>
          <w:szCs w:val="32"/>
          <w:lang w:eastAsia="zh-CN"/>
        </w:rPr>
        <w:t>2022</w:t>
      </w:r>
      <w:r>
        <w:rPr>
          <w:rFonts w:hint="eastAsia" w:ascii="仿宋_GB2312" w:eastAsia="仿宋_GB2312"/>
          <w:sz w:val="32"/>
          <w:szCs w:val="32"/>
        </w:rPr>
        <w:t>年度财政拨款收、支总计</w:t>
      </w:r>
      <w:r>
        <w:rPr>
          <w:rFonts w:hint="eastAsia" w:ascii="仿宋_GB2312"/>
          <w:sz w:val="32"/>
          <w:szCs w:val="32"/>
          <w:lang w:val="en-US" w:eastAsia="zh-CN"/>
        </w:rPr>
        <w:t>2800.59</w:t>
      </w:r>
      <w:r>
        <w:rPr>
          <w:rFonts w:hint="eastAsia" w:ascii="仿宋_GB2312" w:eastAsia="仿宋_GB2312"/>
          <w:sz w:val="32"/>
          <w:szCs w:val="32"/>
        </w:rPr>
        <w:t>万元，</w:t>
      </w:r>
      <w:r>
        <w:rPr>
          <w:rFonts w:hint="eastAsia" w:ascii="仿宋_GB2312" w:hAnsi="华文中宋" w:eastAsia="仿宋_GB2312"/>
          <w:sz w:val="32"/>
          <w:szCs w:val="32"/>
        </w:rPr>
        <w:t>与</w:t>
      </w:r>
      <w:r>
        <w:rPr>
          <w:rFonts w:hint="eastAsia" w:ascii="仿宋_GB2312"/>
          <w:sz w:val="32"/>
          <w:szCs w:val="32"/>
          <w:lang w:eastAsia="zh-CN"/>
        </w:rPr>
        <w:t>2021</w:t>
      </w:r>
      <w:r>
        <w:rPr>
          <w:rFonts w:hint="eastAsia" w:ascii="仿宋_GB2312" w:eastAsia="仿宋_GB2312"/>
          <w:sz w:val="32"/>
          <w:szCs w:val="32"/>
        </w:rPr>
        <w:t>年相比，增加</w:t>
      </w:r>
      <w:r>
        <w:rPr>
          <w:rFonts w:hint="eastAsia" w:ascii="仿宋_GB2312" w:hAnsi="仿宋_GB2312" w:cs="仿宋_GB2312"/>
          <w:sz w:val="32"/>
          <w:szCs w:val="32"/>
          <w:lang w:val="en-US" w:eastAsia="zh-CN"/>
        </w:rPr>
        <w:t>117.23</w:t>
      </w:r>
      <w:r>
        <w:rPr>
          <w:rFonts w:hint="eastAsia" w:ascii="仿宋_GB2312" w:hAnsi="华文中宋" w:eastAsia="仿宋_GB2312"/>
          <w:sz w:val="32"/>
          <w:szCs w:val="32"/>
        </w:rPr>
        <w:t>万</w:t>
      </w:r>
      <w:r>
        <w:rPr>
          <w:rFonts w:hint="eastAsia" w:ascii="仿宋_GB2312" w:eastAsia="仿宋_GB2312"/>
          <w:sz w:val="32"/>
          <w:szCs w:val="32"/>
        </w:rPr>
        <w:t>元，增长</w:t>
      </w:r>
      <w:r>
        <w:rPr>
          <w:rFonts w:hint="eastAsia" w:ascii="仿宋_GB2312" w:hAnsi="仿宋_GB2312" w:cs="仿宋_GB2312"/>
          <w:color w:val="000000"/>
          <w:sz w:val="32"/>
          <w:szCs w:val="32"/>
          <w:highlight w:val="none"/>
          <w:lang w:val="en-US" w:eastAsia="zh-CN"/>
        </w:rPr>
        <w:t>4.37</w:t>
      </w:r>
      <w:r>
        <w:rPr>
          <w:rFonts w:hint="eastAsia" w:ascii="仿宋_GB2312" w:eastAsia="仿宋_GB2312"/>
          <w:sz w:val="32"/>
          <w:szCs w:val="32"/>
        </w:rPr>
        <w:t>%，主要原因是</w:t>
      </w:r>
      <w:r>
        <w:rPr>
          <w:rFonts w:hint="eastAsia" w:ascii="仿宋_GB2312" w:eastAsia="仿宋_GB2312"/>
          <w:sz w:val="32"/>
          <w:szCs w:val="32"/>
          <w:highlight w:val="none"/>
        </w:rPr>
        <w:t>人员增加，同时1月份普调工资（人均300</w:t>
      </w:r>
      <w:r>
        <w:rPr>
          <w:rFonts w:hint="eastAsia" w:ascii="仿宋_GB2312"/>
          <w:sz w:val="32"/>
          <w:szCs w:val="32"/>
          <w:highlight w:val="none"/>
          <w:lang w:eastAsia="zh-CN"/>
        </w:rPr>
        <w:t>元</w:t>
      </w:r>
      <w:r>
        <w:rPr>
          <w:rFonts w:hint="eastAsia" w:ascii="仿宋_GB2312" w:eastAsia="仿宋_GB2312"/>
          <w:sz w:val="32"/>
          <w:szCs w:val="32"/>
          <w:highlight w:val="none"/>
        </w:rPr>
        <w:t>），导致本年度人员经费增加，本年财政拨款相应增</w:t>
      </w:r>
      <w:r>
        <w:rPr>
          <w:rFonts w:hint="eastAsia" w:ascii="仿宋_GB2312"/>
          <w:sz w:val="32"/>
          <w:szCs w:val="32"/>
          <w:highlight w:val="none"/>
          <w:lang w:eastAsia="zh-CN"/>
        </w:rPr>
        <w:t>加</w:t>
      </w:r>
      <w:r>
        <w:rPr>
          <w:rFonts w:hint="eastAsia" w:ascii="仿宋_GB2312" w:eastAsia="仿宋_GB2312"/>
          <w:sz w:val="32"/>
          <w:szCs w:val="32"/>
          <w:highlight w:val="none"/>
        </w:rPr>
        <w:t xml:space="preserve">。   </w:t>
      </w:r>
      <w:r>
        <w:rPr>
          <w:rFonts w:hint="eastAsia" w:ascii="仿宋_GB2312" w:eastAsia="仿宋_GB2312"/>
          <w:sz w:val="32"/>
          <w:szCs w:val="32"/>
        </w:rPr>
        <w:t xml:space="preserve">    </w:t>
      </w:r>
    </w:p>
    <w:p>
      <w:pPr>
        <w:pStyle w:val="3"/>
        <w:pageBreakBefore w:val="0"/>
        <w:kinsoku/>
        <w:wordWrap/>
        <w:overflowPunct/>
        <w:topLinePunct w:val="0"/>
        <w:bidi w:val="0"/>
        <w:snapToGrid/>
        <w:spacing w:before="0" w:beforeLines="0" w:after="0" w:afterLines="0" w:line="580" w:lineRule="exact"/>
        <w:textAlignment w:val="auto"/>
        <w:outlineLvl w:val="1"/>
        <w:rPr>
          <w:rFonts w:hint="eastAsia" w:ascii="黑体" w:hAnsi="黑体" w:eastAsia="黑体" w:cs="黑体"/>
          <w:sz w:val="32"/>
          <w:szCs w:val="32"/>
        </w:rPr>
      </w:pPr>
      <w:bookmarkStart w:id="64" w:name="_Toc3457_WPSOffice_Level2"/>
      <w:bookmarkStart w:id="65" w:name="_Toc25413_WPSOffice_Level2"/>
      <w:bookmarkStart w:id="66" w:name="_Toc22399"/>
      <w:bookmarkStart w:id="67" w:name="_Toc21051"/>
      <w:bookmarkStart w:id="68" w:name="_Toc29759_WPSOffice_Level2"/>
      <w:r>
        <w:rPr>
          <w:rFonts w:hint="eastAsia" w:ascii="黑体" w:hAnsi="黑体" w:eastAsia="黑体" w:cs="黑体"/>
          <w:sz w:val="32"/>
          <w:szCs w:val="32"/>
        </w:rPr>
        <w:t>五、</w:t>
      </w:r>
      <w:r>
        <w:rPr>
          <w:rFonts w:hint="eastAsia" w:ascii="黑体" w:hAnsi="黑体" w:eastAsia="黑体" w:cs="黑体"/>
          <w:sz w:val="32"/>
          <w:szCs w:val="32"/>
          <w:lang w:eastAsia="zh-CN"/>
        </w:rPr>
        <w:t>2022</w:t>
      </w:r>
      <w:r>
        <w:rPr>
          <w:rFonts w:hint="eastAsia" w:ascii="黑体" w:hAnsi="黑体" w:eastAsia="黑体" w:cs="黑体"/>
          <w:sz w:val="32"/>
          <w:szCs w:val="32"/>
        </w:rPr>
        <w:t>年度一般公共预算财政拨款支出决算情况说明</w:t>
      </w:r>
      <w:bookmarkEnd w:id="64"/>
      <w:bookmarkEnd w:id="65"/>
      <w:bookmarkEnd w:id="66"/>
      <w:bookmarkEnd w:id="67"/>
      <w:bookmarkEnd w:id="68"/>
    </w:p>
    <w:p>
      <w:pPr>
        <w:pageBreakBefore w:val="0"/>
        <w:kinsoku/>
        <w:wordWrap/>
        <w:overflowPunct/>
        <w:topLinePunct w:val="0"/>
        <w:bidi w:val="0"/>
        <w:snapToGrid/>
        <w:spacing w:line="580" w:lineRule="exact"/>
        <w:ind w:firstLine="640" w:firstLineChars="200"/>
        <w:textAlignment w:val="auto"/>
        <w:outlineLvl w:val="2"/>
        <w:rPr>
          <w:rFonts w:hint="eastAsia" w:ascii="仿宋_GB2312" w:hAnsi="Times New Roman" w:eastAsia="仿宋_GB2312" w:cs="Times New Roman"/>
          <w:kern w:val="2"/>
          <w:sz w:val="32"/>
          <w:szCs w:val="32"/>
          <w:lang w:val="en-US" w:eastAsia="zh-CN" w:bidi="ar-SA"/>
        </w:rPr>
      </w:pPr>
      <w:bookmarkStart w:id="69" w:name="_Toc27184_WPSOffice_Level2"/>
      <w:bookmarkStart w:id="70" w:name="_Toc20026_WPSOffice_Level3"/>
      <w:r>
        <w:rPr>
          <w:rFonts w:hint="eastAsia" w:ascii="楷体_GB2312" w:hAnsi="楷体_GB2312" w:eastAsia="楷体_GB2312" w:cs="楷体_GB2312"/>
          <w:kern w:val="2"/>
          <w:sz w:val="32"/>
          <w:szCs w:val="32"/>
          <w:lang w:val="en-US" w:eastAsia="zh-CN" w:bidi="ar-SA"/>
        </w:rPr>
        <w:t>（一）一般公共预算财政拨款支出决算总体情况</w:t>
      </w:r>
      <w:bookmarkEnd w:id="69"/>
      <w:bookmarkEnd w:id="70"/>
    </w:p>
    <w:p>
      <w:pPr>
        <w:pStyle w:val="11"/>
        <w:pageBreakBefore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2022</w:t>
      </w:r>
      <w:r>
        <w:rPr>
          <w:rFonts w:hint="eastAsia" w:ascii="仿宋_GB2312" w:hAnsi="仿宋_GB2312" w:eastAsia="仿宋_GB2312" w:cs="仿宋_GB2312"/>
          <w:sz w:val="32"/>
          <w:szCs w:val="32"/>
          <w:highlight w:val="none"/>
        </w:rPr>
        <w:t>年度一般公共预算财政拨款支出</w:t>
      </w:r>
      <w:r>
        <w:rPr>
          <w:rFonts w:hint="eastAsia" w:ascii="仿宋_GB2312" w:hAnsi="仿宋_GB2312" w:eastAsia="仿宋_GB2312" w:cs="仿宋_GB2312"/>
          <w:sz w:val="32"/>
          <w:szCs w:val="32"/>
          <w:highlight w:val="none"/>
          <w:lang w:val="en-US" w:eastAsia="zh-CN"/>
        </w:rPr>
        <w:t>2765.61</w:t>
      </w:r>
      <w:r>
        <w:rPr>
          <w:rFonts w:hint="eastAsia" w:ascii="仿宋_GB2312" w:hAnsi="仿宋_GB2312" w:eastAsia="仿宋_GB2312" w:cs="仿宋_GB2312"/>
          <w:sz w:val="32"/>
          <w:szCs w:val="32"/>
          <w:highlight w:val="none"/>
        </w:rPr>
        <w:t>万元，占本年支出合计的</w:t>
      </w:r>
      <w:r>
        <w:rPr>
          <w:rFonts w:hint="eastAsia" w:ascii="仿宋_GB2312" w:hAnsi="仿宋_GB2312" w:eastAsia="仿宋_GB2312" w:cs="仿宋_GB2312"/>
          <w:sz w:val="32"/>
          <w:szCs w:val="32"/>
          <w:highlight w:val="none"/>
          <w:lang w:val="en-US" w:eastAsia="zh-CN"/>
        </w:rPr>
        <w:t>98.75</w:t>
      </w:r>
      <w:r>
        <w:rPr>
          <w:rFonts w:hint="eastAsia" w:ascii="仿宋_GB2312" w:hAnsi="仿宋_GB2312" w:eastAsia="仿宋_GB2312" w:cs="仿宋_GB2312"/>
          <w:sz w:val="32"/>
          <w:szCs w:val="32"/>
          <w:highlight w:val="none"/>
        </w:rPr>
        <w:t>%。与</w:t>
      </w:r>
      <w:r>
        <w:rPr>
          <w:rFonts w:hint="eastAsia" w:ascii="仿宋_GB2312" w:hAnsi="仿宋_GB2312" w:eastAsia="仿宋_GB2312" w:cs="仿宋_GB2312"/>
          <w:sz w:val="32"/>
          <w:szCs w:val="32"/>
          <w:highlight w:val="none"/>
          <w:lang w:eastAsia="zh-CN"/>
        </w:rPr>
        <w:t>2021</w:t>
      </w:r>
      <w:r>
        <w:rPr>
          <w:rFonts w:hint="eastAsia" w:ascii="仿宋_GB2312" w:hAnsi="仿宋_GB2312" w:eastAsia="仿宋_GB2312" w:cs="仿宋_GB2312"/>
          <w:sz w:val="32"/>
          <w:szCs w:val="32"/>
          <w:highlight w:val="none"/>
        </w:rPr>
        <w:t>年相比，一般公共预算财政拨款支出增加</w:t>
      </w:r>
      <w:r>
        <w:rPr>
          <w:rFonts w:hint="eastAsia" w:ascii="仿宋_GB2312" w:hAnsi="仿宋_GB2312" w:eastAsia="仿宋_GB2312" w:cs="仿宋_GB2312"/>
          <w:sz w:val="32"/>
          <w:szCs w:val="32"/>
          <w:highlight w:val="none"/>
          <w:lang w:val="en-US" w:eastAsia="zh-CN"/>
        </w:rPr>
        <w:t>147.25</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5.62</w:t>
      </w:r>
      <w:r>
        <w:rPr>
          <w:rFonts w:hint="eastAsia" w:ascii="仿宋_GB2312" w:hAnsi="仿宋_GB2312" w:eastAsia="仿宋_GB2312" w:cs="仿宋_GB2312"/>
          <w:sz w:val="32"/>
          <w:szCs w:val="32"/>
          <w:highlight w:val="none"/>
        </w:rPr>
        <w:t xml:space="preserve"> %，主要原因是人员增加，同时1月份普调工资（人均300</w:t>
      </w:r>
      <w:r>
        <w:rPr>
          <w:rFonts w:hint="eastAsia" w:ascii="仿宋_GB2312" w:hAnsi="仿宋_GB2312" w:eastAsia="仿宋_GB2312" w:cs="仿宋_GB2312"/>
          <w:sz w:val="32"/>
          <w:szCs w:val="32"/>
          <w:highlight w:val="none"/>
          <w:lang w:eastAsia="zh-CN"/>
        </w:rPr>
        <w:t>元</w:t>
      </w:r>
      <w:r>
        <w:rPr>
          <w:rFonts w:hint="eastAsia" w:ascii="仿宋_GB2312" w:hAnsi="仿宋_GB2312" w:eastAsia="仿宋_GB2312" w:cs="仿宋_GB2312"/>
          <w:sz w:val="32"/>
          <w:szCs w:val="32"/>
          <w:highlight w:val="none"/>
        </w:rPr>
        <w:t>），导致本年度人员经费增加，本年财政拨款相应增</w:t>
      </w:r>
      <w:r>
        <w:rPr>
          <w:rFonts w:hint="eastAsia" w:ascii="仿宋_GB2312" w:hAnsi="仿宋_GB2312" w:eastAsia="仿宋_GB2312" w:cs="仿宋_GB2312"/>
          <w:sz w:val="32"/>
          <w:szCs w:val="32"/>
          <w:highlight w:val="none"/>
          <w:lang w:eastAsia="zh-CN"/>
        </w:rPr>
        <w:t>加</w:t>
      </w:r>
      <w:r>
        <w:rPr>
          <w:rFonts w:hint="eastAsia" w:ascii="仿宋_GB2312" w:hAnsi="仿宋_GB2312" w:eastAsia="仿宋_GB2312" w:cs="仿宋_GB2312"/>
          <w:sz w:val="32"/>
          <w:szCs w:val="32"/>
          <w:highlight w:val="none"/>
        </w:rPr>
        <w:t>。</w:t>
      </w:r>
    </w:p>
    <w:p>
      <w:pPr>
        <w:pageBreakBefore w:val="0"/>
        <w:kinsoku/>
        <w:wordWrap/>
        <w:overflowPunct/>
        <w:topLinePunct w:val="0"/>
        <w:bidi w:val="0"/>
        <w:snapToGrid/>
        <w:spacing w:line="580" w:lineRule="exact"/>
        <w:ind w:firstLine="640" w:firstLineChars="200"/>
        <w:textAlignment w:val="auto"/>
        <w:outlineLvl w:val="2"/>
        <w:rPr>
          <w:rFonts w:hint="eastAsia" w:ascii="楷体_GB2312" w:hAnsi="楷体_GB2312" w:eastAsia="楷体_GB2312" w:cs="楷体_GB2312"/>
          <w:sz w:val="32"/>
          <w:szCs w:val="32"/>
          <w:lang w:val="en-US" w:eastAsia="zh-CN"/>
        </w:rPr>
      </w:pPr>
      <w:bookmarkStart w:id="71" w:name="_Toc5638_WPSOffice_Level2"/>
      <w:bookmarkStart w:id="72" w:name="_Toc13023_WPSOffice_Level3"/>
      <w:r>
        <w:rPr>
          <w:rFonts w:hint="eastAsia" w:ascii="楷体_GB2312" w:hAnsi="楷体_GB2312" w:eastAsia="楷体_GB2312" w:cs="楷体_GB2312"/>
          <w:sz w:val="32"/>
          <w:szCs w:val="32"/>
          <w:lang w:val="en-US" w:eastAsia="zh-CN"/>
        </w:rPr>
        <w:t>（二）一般公共预算财政拨款支出决算结构情况</w:t>
      </w:r>
      <w:bookmarkEnd w:id="71"/>
      <w:bookmarkEnd w:id="72"/>
    </w:p>
    <w:p>
      <w:pPr>
        <w:pStyle w:val="11"/>
        <w:pageBreakBefore w:val="0"/>
        <w:kinsoku/>
        <w:wordWrap/>
        <w:overflowPunct/>
        <w:topLinePunct w:val="0"/>
        <w:bidi w:val="0"/>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年度一般公共预算财政拨款支出主要用于以下方面：</w:t>
      </w:r>
      <w:r>
        <w:rPr>
          <w:rFonts w:ascii="仿宋_GB2312" w:eastAsia="仿宋_GB2312"/>
          <w:sz w:val="32"/>
          <w:szCs w:val="32"/>
        </w:rPr>
        <w:t xml:space="preserve"> </w:t>
      </w:r>
    </w:p>
    <w:p>
      <w:pPr>
        <w:pageBreakBefore w:val="0"/>
        <w:kinsoku/>
        <w:wordWrap/>
        <w:overflowPunct/>
        <w:topLinePunct w:val="0"/>
        <w:autoSpaceDE w:val="0"/>
        <w:autoSpaceDN w:val="0"/>
        <w:bidi w:val="0"/>
        <w:adjustRightInd w:val="0"/>
        <w:snapToGrid/>
        <w:spacing w:line="580" w:lineRule="exact"/>
        <w:ind w:left="0" w:leftChars="0" w:rightChars="0" w:firstLine="640" w:firstLineChars="200"/>
        <w:jc w:val="both"/>
        <w:textAlignment w:val="auto"/>
        <w:rPr>
          <w:rFonts w:hint="eastAsia" w:ascii="仿宋_GB2312" w:hAnsi="仿宋_GB2312" w:eastAsia="仿宋_GB2312" w:cs="仿宋_GB2312"/>
          <w:sz w:val="32"/>
          <w:szCs w:val="32"/>
        </w:rPr>
      </w:pPr>
      <w:bookmarkStart w:id="73" w:name="_Toc28598_WPSOffice_Level3"/>
      <w:bookmarkStart w:id="74" w:name="_Toc4002_WPSOffice_Level2"/>
      <w:r>
        <w:rPr>
          <w:rFonts w:hint="eastAsia" w:ascii="仿宋_GB2312" w:hAnsi="仿宋_GB2312" w:eastAsia="仿宋_GB2312" w:cs="仿宋_GB2312"/>
          <w:sz w:val="32"/>
          <w:szCs w:val="32"/>
        </w:rPr>
        <w:t>一般公共服务支出</w:t>
      </w:r>
      <w:r>
        <w:rPr>
          <w:rFonts w:hint="eastAsia"/>
          <w:sz w:val="32"/>
          <w:szCs w:val="32"/>
        </w:rPr>
        <w:t>（类）</w:t>
      </w:r>
      <w:r>
        <w:rPr>
          <w:rFonts w:hint="eastAsia" w:ascii="仿宋_GB2312" w:hAnsi="仿宋_GB2312" w:cs="仿宋_GB2312"/>
          <w:sz w:val="32"/>
          <w:szCs w:val="32"/>
          <w:lang w:val="en-US" w:eastAsia="zh-CN"/>
        </w:rPr>
        <w:t>1457.23</w:t>
      </w:r>
      <w:r>
        <w:rPr>
          <w:rFonts w:hint="eastAsia" w:ascii="仿宋_GB2312" w:hAnsi="仿宋_GB2312" w:eastAsia="仿宋_GB2312" w:cs="仿宋_GB2312"/>
          <w:sz w:val="32"/>
          <w:szCs w:val="32"/>
        </w:rPr>
        <w:t>万元，占</w:t>
      </w:r>
      <w:r>
        <w:rPr>
          <w:rFonts w:hint="eastAsia" w:ascii="仿宋_GB2312" w:hAnsi="仿宋_GB2312" w:cs="仿宋_GB2312"/>
          <w:sz w:val="32"/>
          <w:szCs w:val="32"/>
          <w:lang w:val="en-US" w:eastAsia="zh-CN"/>
        </w:rPr>
        <w:t>52.69</w:t>
      </w:r>
      <w:r>
        <w:rPr>
          <w:rFonts w:hint="eastAsia" w:ascii="仿宋_GB2312" w:hAnsi="仿宋_GB2312" w:eastAsia="仿宋_GB2312" w:cs="仿宋_GB2312"/>
          <w:sz w:val="32"/>
          <w:szCs w:val="32"/>
        </w:rPr>
        <w:t>%；公共安全支出</w:t>
      </w:r>
      <w:r>
        <w:rPr>
          <w:rFonts w:hint="eastAsia"/>
          <w:sz w:val="32"/>
          <w:szCs w:val="32"/>
        </w:rPr>
        <w:t>（类）</w:t>
      </w:r>
      <w:r>
        <w:rPr>
          <w:rFonts w:hint="eastAsia" w:ascii="仿宋_GB2312" w:hAnsi="仿宋_GB2312" w:cs="仿宋_GB2312"/>
          <w:sz w:val="32"/>
          <w:szCs w:val="32"/>
          <w:lang w:val="en-US" w:eastAsia="zh-CN"/>
        </w:rPr>
        <w:t>32.31万</w:t>
      </w:r>
      <w:r>
        <w:rPr>
          <w:rFonts w:hint="eastAsia" w:ascii="仿宋_GB2312" w:hAnsi="仿宋_GB2312" w:eastAsia="仿宋_GB2312" w:cs="仿宋_GB2312"/>
          <w:sz w:val="32"/>
          <w:szCs w:val="32"/>
        </w:rPr>
        <w:t>元，占</w:t>
      </w:r>
      <w:r>
        <w:rPr>
          <w:rFonts w:hint="eastAsia" w:ascii="仿宋_GB2312" w:hAnsi="仿宋_GB2312" w:cs="仿宋_GB2312"/>
          <w:sz w:val="32"/>
          <w:szCs w:val="32"/>
          <w:lang w:val="en-US" w:eastAsia="zh-CN"/>
        </w:rPr>
        <w:t>1.17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文化旅游体育与传媒支出</w:t>
      </w:r>
      <w:r>
        <w:rPr>
          <w:rFonts w:hint="eastAsia"/>
          <w:sz w:val="32"/>
          <w:szCs w:val="32"/>
        </w:rPr>
        <w:t>（类）</w:t>
      </w:r>
      <w:r>
        <w:rPr>
          <w:rFonts w:hint="eastAsia" w:ascii="仿宋_GB2312" w:hAnsi="仿宋_GB2312" w:cs="仿宋_GB2312"/>
          <w:sz w:val="32"/>
          <w:szCs w:val="32"/>
          <w:lang w:val="en-US" w:eastAsia="zh-CN"/>
        </w:rPr>
        <w:t>1万元</w:t>
      </w:r>
      <w:r>
        <w:rPr>
          <w:rFonts w:hint="eastAsia" w:ascii="仿宋_GB2312" w:hAnsi="仿宋_GB2312" w:eastAsia="仿宋_GB2312" w:cs="仿宋_GB2312"/>
          <w:sz w:val="32"/>
          <w:szCs w:val="32"/>
        </w:rPr>
        <w:t>，占</w:t>
      </w:r>
      <w:r>
        <w:rPr>
          <w:rFonts w:hint="eastAsia" w:ascii="仿宋_GB2312" w:hAnsi="仿宋_GB2312" w:cs="仿宋_GB2312"/>
          <w:sz w:val="32"/>
          <w:szCs w:val="32"/>
          <w:lang w:val="en-US" w:eastAsia="zh-CN"/>
        </w:rPr>
        <w:t>0.04</w:t>
      </w:r>
      <w:r>
        <w:rPr>
          <w:rFonts w:hint="eastAsia" w:ascii="仿宋_GB2312" w:hAnsi="仿宋_GB2312" w:eastAsia="仿宋_GB2312" w:cs="仿宋_GB2312"/>
          <w:sz w:val="32"/>
          <w:szCs w:val="32"/>
        </w:rPr>
        <w:t>%；社会保障和就业支出</w:t>
      </w:r>
      <w:r>
        <w:rPr>
          <w:rFonts w:hint="eastAsia"/>
          <w:sz w:val="32"/>
          <w:szCs w:val="32"/>
        </w:rPr>
        <w:t>（类）</w:t>
      </w:r>
      <w:r>
        <w:rPr>
          <w:rFonts w:hint="eastAsia" w:ascii="仿宋_GB2312" w:hAnsi="仿宋_GB2312" w:cs="仿宋_GB2312"/>
          <w:sz w:val="32"/>
          <w:szCs w:val="32"/>
          <w:lang w:val="en-US" w:eastAsia="zh-CN"/>
        </w:rPr>
        <w:t>214.24</w:t>
      </w:r>
      <w:r>
        <w:rPr>
          <w:rFonts w:hint="eastAsia" w:ascii="仿宋_GB2312" w:hAnsi="仿宋_GB2312" w:eastAsia="仿宋_GB2312" w:cs="仿宋_GB2312"/>
          <w:sz w:val="32"/>
          <w:szCs w:val="32"/>
        </w:rPr>
        <w:t>万元，占</w:t>
      </w:r>
      <w:r>
        <w:rPr>
          <w:rFonts w:hint="eastAsia" w:ascii="仿宋_GB2312" w:hAnsi="仿宋_GB2312" w:cs="仿宋_GB2312"/>
          <w:sz w:val="32"/>
          <w:szCs w:val="32"/>
          <w:lang w:val="en-US" w:eastAsia="zh-CN"/>
        </w:rPr>
        <w:t>7.75</w:t>
      </w:r>
      <w:r>
        <w:rPr>
          <w:rFonts w:hint="eastAsia" w:ascii="仿宋_GB2312" w:hAnsi="仿宋_GB2312" w:eastAsia="仿宋_GB2312" w:cs="仿宋_GB2312"/>
          <w:sz w:val="32"/>
          <w:szCs w:val="32"/>
        </w:rPr>
        <w:t>%；卫生健康支出</w:t>
      </w:r>
      <w:r>
        <w:rPr>
          <w:rFonts w:hint="eastAsia"/>
          <w:sz w:val="32"/>
          <w:szCs w:val="32"/>
        </w:rPr>
        <w:t>（类）</w:t>
      </w:r>
      <w:r>
        <w:rPr>
          <w:rFonts w:hint="eastAsia" w:ascii="仿宋_GB2312" w:hAnsi="仿宋_GB2312" w:cs="仿宋_GB2312"/>
          <w:sz w:val="32"/>
          <w:szCs w:val="32"/>
          <w:lang w:val="en-US" w:eastAsia="zh-CN"/>
        </w:rPr>
        <w:t>88.48</w:t>
      </w:r>
      <w:r>
        <w:rPr>
          <w:rFonts w:hint="eastAsia" w:ascii="仿宋_GB2312" w:hAnsi="仿宋_GB2312" w:eastAsia="仿宋_GB2312" w:cs="仿宋_GB2312"/>
          <w:sz w:val="32"/>
          <w:szCs w:val="32"/>
        </w:rPr>
        <w:t>万元，占</w:t>
      </w:r>
      <w:r>
        <w:rPr>
          <w:rFonts w:hint="eastAsia" w:ascii="仿宋_GB2312" w:hAnsi="仿宋_GB2312" w:cs="仿宋_GB2312"/>
          <w:sz w:val="32"/>
          <w:szCs w:val="32"/>
          <w:lang w:val="en-US" w:eastAsia="zh-CN"/>
        </w:rPr>
        <w:t>3.20</w:t>
      </w:r>
      <w:r>
        <w:rPr>
          <w:rFonts w:hint="eastAsia" w:ascii="仿宋_GB2312" w:hAnsi="仿宋_GB2312" w:eastAsia="仿宋_GB2312" w:cs="仿宋_GB2312"/>
          <w:sz w:val="32"/>
          <w:szCs w:val="32"/>
        </w:rPr>
        <w:t>%；城乡社区支出</w:t>
      </w:r>
      <w:r>
        <w:rPr>
          <w:rFonts w:hint="eastAsia"/>
          <w:sz w:val="32"/>
          <w:szCs w:val="32"/>
        </w:rPr>
        <w:t>（类）</w:t>
      </w:r>
      <w:r>
        <w:rPr>
          <w:rFonts w:hint="eastAsia" w:ascii="仿宋_GB2312" w:hAnsi="仿宋_GB2312" w:cs="仿宋_GB2312"/>
          <w:sz w:val="32"/>
          <w:szCs w:val="32"/>
          <w:lang w:val="en-US" w:eastAsia="zh-CN"/>
        </w:rPr>
        <w:t>144</w:t>
      </w:r>
      <w:r>
        <w:rPr>
          <w:rFonts w:hint="eastAsia" w:ascii="仿宋_GB2312" w:hAnsi="仿宋_GB2312" w:eastAsia="仿宋_GB2312" w:cs="仿宋_GB2312"/>
          <w:sz w:val="32"/>
          <w:szCs w:val="32"/>
        </w:rPr>
        <w:t>万元，占</w:t>
      </w:r>
      <w:r>
        <w:rPr>
          <w:rFonts w:hint="eastAsia" w:ascii="仿宋_GB2312" w:hAnsi="仿宋_GB2312" w:cs="仿宋_GB2312"/>
          <w:sz w:val="32"/>
          <w:szCs w:val="32"/>
          <w:lang w:val="en-US" w:eastAsia="zh-CN"/>
        </w:rPr>
        <w:t>5.20</w:t>
      </w:r>
      <w:r>
        <w:rPr>
          <w:rFonts w:hint="eastAsia" w:ascii="仿宋_GB2312" w:hAnsi="仿宋_GB2312" w:eastAsia="仿宋_GB2312" w:cs="仿宋_GB2312"/>
          <w:sz w:val="32"/>
          <w:szCs w:val="32"/>
        </w:rPr>
        <w:t>%；农林水支出</w:t>
      </w:r>
      <w:r>
        <w:rPr>
          <w:rFonts w:hint="eastAsia"/>
          <w:sz w:val="32"/>
          <w:szCs w:val="32"/>
        </w:rPr>
        <w:t>（类）</w:t>
      </w:r>
      <w:r>
        <w:rPr>
          <w:rFonts w:hint="eastAsia" w:ascii="仿宋_GB2312" w:hAnsi="仿宋_GB2312" w:cs="仿宋_GB2312"/>
          <w:sz w:val="32"/>
          <w:szCs w:val="32"/>
          <w:lang w:val="en-US" w:eastAsia="zh-CN"/>
        </w:rPr>
        <w:t>691.72</w:t>
      </w:r>
      <w:r>
        <w:rPr>
          <w:rFonts w:hint="eastAsia" w:ascii="仿宋_GB2312" w:hAnsi="仿宋_GB2312" w:eastAsia="仿宋_GB2312" w:cs="仿宋_GB2312"/>
          <w:sz w:val="32"/>
          <w:szCs w:val="32"/>
        </w:rPr>
        <w:t>万元，占</w:t>
      </w:r>
      <w:r>
        <w:rPr>
          <w:rFonts w:hint="eastAsia" w:ascii="仿宋_GB2312" w:hAnsi="仿宋_GB2312" w:cs="仿宋_GB2312"/>
          <w:sz w:val="32"/>
          <w:szCs w:val="32"/>
          <w:lang w:val="en-US" w:eastAsia="zh-CN"/>
        </w:rPr>
        <w:t>25.01</w:t>
      </w:r>
      <w:r>
        <w:rPr>
          <w:rFonts w:hint="eastAsia" w:ascii="仿宋_GB2312" w:hAnsi="仿宋_GB2312" w:eastAsia="仿宋_GB2312" w:cs="仿宋_GB2312"/>
          <w:sz w:val="32"/>
          <w:szCs w:val="32"/>
        </w:rPr>
        <w:t>%；住房保障支出</w:t>
      </w:r>
      <w:r>
        <w:rPr>
          <w:rFonts w:hint="eastAsia"/>
          <w:sz w:val="32"/>
          <w:szCs w:val="32"/>
        </w:rPr>
        <w:t>（类</w:t>
      </w:r>
      <w:r>
        <w:rPr>
          <w:rFonts w:hint="eastAsia"/>
          <w:sz w:val="32"/>
          <w:szCs w:val="32"/>
          <w:lang w:eastAsia="zh-CN"/>
        </w:rPr>
        <w:t>）</w:t>
      </w:r>
      <w:r>
        <w:rPr>
          <w:rFonts w:hint="eastAsia"/>
          <w:sz w:val="32"/>
          <w:szCs w:val="32"/>
        </w:rPr>
        <w:t>133.63</w:t>
      </w:r>
      <w:r>
        <w:rPr>
          <w:rFonts w:hint="eastAsia" w:ascii="仿宋_GB2312" w:hAnsi="仿宋_GB2312" w:eastAsia="仿宋_GB2312" w:cs="仿宋_GB2312"/>
          <w:sz w:val="32"/>
          <w:szCs w:val="32"/>
        </w:rPr>
        <w:t>万元，占</w:t>
      </w:r>
      <w:r>
        <w:rPr>
          <w:rFonts w:hint="eastAsia" w:ascii="仿宋_GB2312" w:hAnsi="仿宋_GB2312" w:cs="仿宋_GB2312"/>
          <w:sz w:val="32"/>
          <w:szCs w:val="32"/>
          <w:lang w:val="en-US" w:eastAsia="zh-CN"/>
        </w:rPr>
        <w:t>4.83</w:t>
      </w:r>
      <w:r>
        <w:rPr>
          <w:rFonts w:hint="eastAsia" w:ascii="仿宋_GB2312" w:hAnsi="仿宋_GB2312" w:eastAsia="仿宋_GB2312" w:cs="仿宋_GB2312"/>
          <w:sz w:val="32"/>
          <w:szCs w:val="32"/>
        </w:rPr>
        <w:t>%；灾害防治及应急管理支出</w:t>
      </w:r>
      <w:r>
        <w:rPr>
          <w:rFonts w:hint="eastAsia"/>
          <w:sz w:val="32"/>
          <w:szCs w:val="32"/>
        </w:rPr>
        <w:t>（类）</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万元，占</w:t>
      </w:r>
      <w:r>
        <w:rPr>
          <w:rFonts w:hint="eastAsia" w:ascii="仿宋_GB2312" w:hAnsi="仿宋_GB2312" w:cs="仿宋_GB2312"/>
          <w:sz w:val="32"/>
          <w:szCs w:val="32"/>
          <w:lang w:val="en-US" w:eastAsia="zh-CN"/>
        </w:rPr>
        <w:t>0.11</w:t>
      </w:r>
      <w:r>
        <w:rPr>
          <w:rFonts w:hint="eastAsia" w:ascii="仿宋_GB2312" w:hAnsi="仿宋_GB2312" w:eastAsia="仿宋_GB2312" w:cs="仿宋_GB2312"/>
          <w:sz w:val="32"/>
          <w:szCs w:val="32"/>
        </w:rPr>
        <w:t>%。</w:t>
      </w:r>
    </w:p>
    <w:p>
      <w:pPr>
        <w:pageBreakBefore w:val="0"/>
        <w:kinsoku/>
        <w:wordWrap/>
        <w:overflowPunct/>
        <w:topLinePunct w:val="0"/>
        <w:bidi w:val="0"/>
        <w:snapToGrid/>
        <w:spacing w:line="580" w:lineRule="exact"/>
        <w:ind w:firstLine="640" w:firstLineChars="200"/>
        <w:textAlignment w:val="auto"/>
        <w:outlineLvl w:val="2"/>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（三）一般公共预算财政拨款支出决算具体情况</w:t>
      </w:r>
      <w:bookmarkEnd w:id="73"/>
      <w:bookmarkEnd w:id="74"/>
    </w:p>
    <w:p>
      <w:pPr>
        <w:pageBreakBefore w:val="0"/>
        <w:kinsoku/>
        <w:wordWrap/>
        <w:overflowPunct/>
        <w:topLinePunct w:val="0"/>
        <w:bidi w:val="0"/>
        <w:snapToGrid/>
        <w:spacing w:line="580" w:lineRule="exact"/>
        <w:ind w:firstLine="640" w:firstLineChars="200"/>
        <w:textAlignment w:val="auto"/>
        <w:rPr>
          <w:rFonts w:hint="eastAsia"/>
          <w:sz w:val="32"/>
          <w:szCs w:val="32"/>
        </w:rPr>
      </w:pPr>
      <w:r>
        <w:rPr>
          <w:rFonts w:hint="eastAsia"/>
          <w:sz w:val="32"/>
          <w:szCs w:val="32"/>
          <w:lang w:eastAsia="zh-CN"/>
        </w:rPr>
        <w:t>2022</w:t>
      </w:r>
      <w:r>
        <w:rPr>
          <w:rFonts w:hint="eastAsia"/>
          <w:sz w:val="32"/>
          <w:szCs w:val="32"/>
        </w:rPr>
        <w:t>年度一般公共预算财政拨款支出年初预算为</w:t>
      </w:r>
      <w:r>
        <w:rPr>
          <w:rFonts w:hint="eastAsia"/>
          <w:sz w:val="32"/>
          <w:szCs w:val="32"/>
          <w:lang w:val="en-US" w:eastAsia="zh-CN"/>
        </w:rPr>
        <w:t>2331.69</w:t>
      </w:r>
      <w:r>
        <w:rPr>
          <w:rFonts w:hint="eastAsia"/>
          <w:sz w:val="32"/>
          <w:szCs w:val="32"/>
        </w:rPr>
        <w:t>万元，支出决算为</w:t>
      </w:r>
      <w:r>
        <w:rPr>
          <w:rFonts w:hint="eastAsia"/>
          <w:sz w:val="32"/>
          <w:szCs w:val="32"/>
          <w:lang w:val="en-US" w:eastAsia="zh-CN"/>
        </w:rPr>
        <w:t>2765.61</w:t>
      </w:r>
      <w:r>
        <w:rPr>
          <w:rFonts w:hint="eastAsia"/>
          <w:sz w:val="32"/>
          <w:szCs w:val="32"/>
        </w:rPr>
        <w:t>万元，完成年初预算的</w:t>
      </w:r>
      <w:r>
        <w:rPr>
          <w:rFonts w:hint="eastAsia"/>
          <w:sz w:val="32"/>
          <w:szCs w:val="32"/>
          <w:lang w:val="en-US" w:eastAsia="zh-CN"/>
        </w:rPr>
        <w:t>118.61</w:t>
      </w:r>
      <w:r>
        <w:rPr>
          <w:rFonts w:hint="eastAsia"/>
          <w:sz w:val="32"/>
          <w:szCs w:val="32"/>
        </w:rPr>
        <w:t>%。其中：</w:t>
      </w:r>
    </w:p>
    <w:p>
      <w:pPr>
        <w:pageBreakBefore w:val="0"/>
        <w:kinsoku/>
        <w:wordWrap/>
        <w:overflowPunct/>
        <w:topLinePunct w:val="0"/>
        <w:bidi w:val="0"/>
        <w:snapToGrid/>
        <w:spacing w:line="580" w:lineRule="exact"/>
        <w:ind w:firstLine="643" w:firstLineChars="200"/>
        <w:textAlignment w:val="auto"/>
        <w:rPr>
          <w:rFonts w:hint="eastAsia" w:cs="Times New Roman"/>
          <w:sz w:val="32"/>
          <w:szCs w:val="32"/>
          <w:lang w:val="en-US" w:eastAsia="zh-CN"/>
        </w:rPr>
      </w:pPr>
      <w:r>
        <w:rPr>
          <w:rFonts w:hint="eastAsia" w:ascii="仿宋_GB2312" w:hAnsi="仿宋_GB2312" w:eastAsia="仿宋_GB2312" w:cs="仿宋_GB2312"/>
          <w:b/>
          <w:bCs/>
          <w:sz w:val="32"/>
          <w:szCs w:val="32"/>
          <w:lang w:val="en-US" w:eastAsia="zh-CN"/>
        </w:rPr>
        <w:t>（</w:t>
      </w:r>
      <w:r>
        <w:rPr>
          <w:rFonts w:hint="eastAsia" w:ascii="仿宋_GB2312" w:hAnsi="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w:t>
      </w:r>
      <w:r>
        <w:rPr>
          <w:rFonts w:hint="eastAsia" w:cs="Times New Roman"/>
          <w:sz w:val="32"/>
          <w:szCs w:val="32"/>
          <w:lang w:val="en-US" w:eastAsia="zh-CN"/>
        </w:rPr>
        <w:t>一般公共服务支出（类）政府办公厅（室）及相关机构事务（款）行政运行（项）。年初预算为630.32万元，支出决算为719.14万元，完成年初预算的114.09%。决算数大于预算数的主要原因是人员增加，人员经费增加。</w:t>
      </w:r>
    </w:p>
    <w:p>
      <w:pPr>
        <w:pageBreakBefore w:val="0"/>
        <w:kinsoku/>
        <w:wordWrap/>
        <w:overflowPunct/>
        <w:topLinePunct w:val="0"/>
        <w:bidi w:val="0"/>
        <w:snapToGrid/>
        <w:spacing w:line="580" w:lineRule="exact"/>
        <w:ind w:firstLine="643" w:firstLineChars="200"/>
        <w:textAlignment w:val="auto"/>
        <w:rPr>
          <w:rFonts w:hint="eastAsia" w:cs="Times New Roman"/>
          <w:sz w:val="32"/>
          <w:szCs w:val="32"/>
          <w:lang w:val="en-US" w:eastAsia="zh-CN"/>
        </w:rPr>
      </w:pPr>
      <w:r>
        <w:rPr>
          <w:rFonts w:hint="eastAsia" w:ascii="仿宋_GB2312" w:hAnsi="仿宋_GB2312" w:eastAsia="仿宋_GB2312" w:cs="仿宋_GB2312"/>
          <w:b/>
          <w:bCs/>
          <w:sz w:val="32"/>
          <w:szCs w:val="32"/>
          <w:highlight w:val="none"/>
          <w:lang w:val="en-US" w:eastAsia="zh-CN"/>
        </w:rPr>
        <w:t>（</w:t>
      </w:r>
      <w:r>
        <w:rPr>
          <w:rFonts w:hint="eastAsia" w:ascii="仿宋_GB2312" w:hAnsi="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en-US" w:eastAsia="zh-CN"/>
        </w:rPr>
        <w:t>）</w:t>
      </w:r>
      <w:r>
        <w:rPr>
          <w:rFonts w:hint="eastAsia"/>
          <w:sz w:val="32"/>
          <w:szCs w:val="32"/>
          <w:highlight w:val="none"/>
        </w:rPr>
        <w:t>一般公共服务支出（类）政府办公厅（室）及相关机构事务（款）其他政府办公厅（室）及相关机构事务支出（项）。</w:t>
      </w:r>
      <w:r>
        <w:rPr>
          <w:rFonts w:hint="eastAsia" w:cs="Times New Roman"/>
          <w:sz w:val="32"/>
          <w:szCs w:val="32"/>
          <w:lang w:val="en-US" w:eastAsia="zh-CN"/>
        </w:rPr>
        <w:t>年初预算为63.7万元，支出决算为62.89万元，完成年初预算98.73%。决算数小于预算数的主要原因是其他运转类项目经费增加。</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cs="Times New Roman"/>
          <w:sz w:val="32"/>
          <w:szCs w:val="32"/>
          <w:lang w:val="en-US" w:eastAsia="zh-CN"/>
        </w:rPr>
      </w:pPr>
      <w:r>
        <w:rPr>
          <w:rFonts w:hint="eastAsia" w:ascii="仿宋_GB2312" w:hAnsi="仿宋_GB2312" w:eastAsia="仿宋_GB2312" w:cs="仿宋_GB2312"/>
          <w:b/>
          <w:bCs/>
          <w:sz w:val="32"/>
          <w:szCs w:val="32"/>
          <w:lang w:val="en-US" w:eastAsia="zh-CN"/>
        </w:rPr>
        <w:t>（</w:t>
      </w:r>
      <w:r>
        <w:rPr>
          <w:rFonts w:hint="eastAsia" w:ascii="仿宋_GB2312" w:hAnsi="仿宋_GB2312" w:cs="仿宋_GB2312"/>
          <w:b/>
          <w:bCs/>
          <w:sz w:val="32"/>
          <w:szCs w:val="32"/>
          <w:lang w:val="en-US" w:eastAsia="zh-CN"/>
        </w:rPr>
        <w:t>3</w:t>
      </w:r>
      <w:r>
        <w:rPr>
          <w:rFonts w:hint="eastAsia" w:ascii="仿宋_GB2312" w:hAnsi="仿宋_GB2312" w:eastAsia="仿宋_GB2312" w:cs="仿宋_GB2312"/>
          <w:b/>
          <w:bCs/>
          <w:sz w:val="32"/>
          <w:szCs w:val="32"/>
          <w:lang w:val="en-US" w:eastAsia="zh-CN"/>
        </w:rPr>
        <w:t>）</w:t>
      </w:r>
      <w:r>
        <w:rPr>
          <w:rFonts w:hint="eastAsia" w:cs="Times New Roman"/>
          <w:sz w:val="32"/>
          <w:szCs w:val="32"/>
          <w:lang w:val="en-US" w:eastAsia="zh-CN"/>
        </w:rPr>
        <w:t>一般公共服务支出（类）财政事务（款）行政运行（项）。年初预算为126.04万元，支出决算为132.51万元，完成年初预算的105.13%。决算数大于预算数的主要原因是人员无增减的情况下普调工资。</w:t>
      </w:r>
    </w:p>
    <w:p>
      <w:pPr>
        <w:pStyle w:val="12"/>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sz w:val="32"/>
          <w:szCs w:val="32"/>
          <w:lang w:val="en-US" w:eastAsia="zh-CN"/>
        </w:rPr>
        <w:t>一般公共服务支出（类）财政事务（款）其他财政事务支出（项）。年初预算为160万元，支出决算为429.68万元，完成年初预算的268.55%。决算数大于预算数的主要原因是</w:t>
      </w:r>
      <w:r>
        <w:rPr>
          <w:rFonts w:hint="eastAsia" w:ascii="仿宋_GB2312" w:hAnsi="仿宋_GB2312" w:eastAsia="仿宋_GB2312" w:cs="仿宋_GB2312"/>
          <w:kern w:val="2"/>
          <w:sz w:val="32"/>
          <w:szCs w:val="32"/>
          <w:lang w:val="en-US" w:eastAsia="zh-CN" w:bidi="ar-SA"/>
        </w:rPr>
        <w:t>为全面激发广大干部职工干事创业的工作激情和活力，确保街道党工委、办事处各项工作落实落地，根据绥党办发相关文件发放目标绩效考核奖。</w:t>
      </w:r>
    </w:p>
    <w:p>
      <w:pPr>
        <w:pageBreakBefore w:val="0"/>
        <w:kinsoku/>
        <w:wordWrap/>
        <w:overflowPunct/>
        <w:topLinePunct w:val="0"/>
        <w:bidi w:val="0"/>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w:t>
      </w:r>
      <w:r>
        <w:rPr>
          <w:rFonts w:hint="eastAsia" w:ascii="仿宋_GB2312" w:hAnsi="仿宋_GB2312" w:cs="仿宋_GB2312"/>
          <w:b/>
          <w:bCs/>
          <w:sz w:val="32"/>
          <w:szCs w:val="32"/>
          <w:lang w:val="en-US" w:eastAsia="zh-CN"/>
        </w:rPr>
        <w:t>5</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一般公共服务支出（类）党委办公厅（室）及相关机构事务（款）行政运行（项）。年初预算为</w:t>
      </w:r>
      <w:r>
        <w:rPr>
          <w:rFonts w:hint="eastAsia" w:ascii="仿宋_GB2312" w:hAnsi="仿宋_GB2312" w:cs="仿宋_GB2312"/>
          <w:sz w:val="32"/>
          <w:szCs w:val="32"/>
          <w:lang w:val="en-US" w:eastAsia="zh-CN"/>
        </w:rPr>
        <w:t>37.53</w:t>
      </w:r>
      <w:r>
        <w:rPr>
          <w:rFonts w:hint="eastAsia" w:ascii="仿宋_GB2312" w:hAnsi="仿宋_GB2312" w:eastAsia="仿宋_GB2312" w:cs="仿宋_GB2312"/>
          <w:sz w:val="32"/>
          <w:szCs w:val="32"/>
          <w:lang w:val="en-US" w:eastAsia="zh-CN"/>
        </w:rPr>
        <w:t>万元，支出决算为</w:t>
      </w:r>
      <w:r>
        <w:rPr>
          <w:rFonts w:hint="eastAsia" w:ascii="仿宋_GB2312" w:hAnsi="仿宋_GB2312" w:cs="仿宋_GB2312"/>
          <w:sz w:val="32"/>
          <w:szCs w:val="32"/>
          <w:lang w:val="en-US" w:eastAsia="zh-CN"/>
        </w:rPr>
        <w:t>43.26</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lang w:val="en-US" w:eastAsia="zh-CN"/>
        </w:rPr>
        <w:t>，完成年初预算的</w:t>
      </w:r>
      <w:r>
        <w:rPr>
          <w:rFonts w:hint="eastAsia" w:ascii="仿宋_GB2312" w:hAnsi="仿宋_GB2312" w:cs="仿宋_GB2312"/>
          <w:sz w:val="32"/>
          <w:szCs w:val="32"/>
          <w:lang w:val="en-US" w:eastAsia="zh-CN"/>
        </w:rPr>
        <w:t>115</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7%。决算数</w:t>
      </w:r>
      <w:r>
        <w:rPr>
          <w:rFonts w:hint="eastAsia" w:ascii="仿宋_GB2312" w:hAnsi="仿宋_GB2312" w:cs="仿宋_GB2312"/>
          <w:sz w:val="32"/>
          <w:szCs w:val="32"/>
          <w:lang w:val="en-US" w:eastAsia="zh-CN"/>
        </w:rPr>
        <w:t>大</w:t>
      </w:r>
      <w:r>
        <w:rPr>
          <w:rFonts w:hint="eastAsia" w:ascii="仿宋_GB2312" w:hAnsi="仿宋_GB2312" w:eastAsia="仿宋_GB2312" w:cs="仿宋_GB2312"/>
          <w:sz w:val="32"/>
          <w:szCs w:val="32"/>
          <w:lang w:val="en-US" w:eastAsia="zh-CN"/>
        </w:rPr>
        <w:t>于预算数的主要原因是党</w:t>
      </w:r>
      <w:r>
        <w:rPr>
          <w:rFonts w:hint="eastAsia" w:ascii="仿宋_GB2312" w:hAnsi="仿宋_GB2312" w:cs="仿宋_GB2312"/>
          <w:sz w:val="32"/>
          <w:szCs w:val="32"/>
          <w:lang w:val="en-US" w:eastAsia="zh-CN"/>
        </w:rPr>
        <w:t>工</w:t>
      </w:r>
      <w:r>
        <w:rPr>
          <w:rFonts w:hint="eastAsia" w:ascii="仿宋_GB2312" w:hAnsi="仿宋_GB2312" w:eastAsia="仿宋_GB2312" w:cs="仿宋_GB2312"/>
          <w:sz w:val="32"/>
          <w:szCs w:val="32"/>
          <w:lang w:val="en-US" w:eastAsia="zh-CN"/>
        </w:rPr>
        <w:t>委人员</w:t>
      </w:r>
      <w:r>
        <w:rPr>
          <w:rFonts w:hint="eastAsia" w:ascii="仿宋_GB2312" w:hAnsi="仿宋_GB2312" w:cs="仿宋_GB2312"/>
          <w:sz w:val="32"/>
          <w:szCs w:val="32"/>
          <w:lang w:val="en-US" w:eastAsia="zh-CN"/>
        </w:rPr>
        <w:t>变化及普调工资</w:t>
      </w:r>
      <w:r>
        <w:rPr>
          <w:rFonts w:hint="eastAsia" w:ascii="仿宋_GB2312" w:hAnsi="仿宋_GB2312" w:eastAsia="仿宋_GB2312" w:cs="仿宋_GB2312"/>
          <w:sz w:val="32"/>
          <w:szCs w:val="32"/>
          <w:lang w:val="en-US" w:eastAsia="zh-CN"/>
        </w:rPr>
        <w:t>。</w:t>
      </w:r>
    </w:p>
    <w:p>
      <w:pPr>
        <w:pageBreakBefore w:val="0"/>
        <w:kinsoku/>
        <w:wordWrap/>
        <w:overflowPunct/>
        <w:topLinePunct w:val="0"/>
        <w:bidi w:val="0"/>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w:t>
      </w:r>
      <w:r>
        <w:rPr>
          <w:rFonts w:hint="eastAsia" w:ascii="仿宋_GB2312" w:hAnsi="仿宋_GB2312" w:cs="仿宋_GB2312"/>
          <w:b/>
          <w:bCs/>
          <w:sz w:val="32"/>
          <w:szCs w:val="32"/>
          <w:lang w:val="en-US" w:eastAsia="zh-CN"/>
        </w:rPr>
        <w:t>6</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一般公共服务支出（类）党委办公厅（室）及相关机构事务（款）</w:t>
      </w:r>
      <w:r>
        <w:rPr>
          <w:rFonts w:hint="eastAsia" w:ascii="仿宋_GB2312" w:hAnsi="仿宋_GB2312" w:cs="仿宋_GB2312"/>
          <w:sz w:val="32"/>
          <w:szCs w:val="32"/>
          <w:lang w:val="en-US" w:eastAsia="zh-CN"/>
        </w:rPr>
        <w:t>事业</w:t>
      </w:r>
      <w:r>
        <w:rPr>
          <w:rFonts w:hint="eastAsia" w:ascii="仿宋_GB2312" w:hAnsi="仿宋_GB2312" w:eastAsia="仿宋_GB2312" w:cs="仿宋_GB2312"/>
          <w:sz w:val="32"/>
          <w:szCs w:val="32"/>
          <w:lang w:val="en-US" w:eastAsia="zh-CN"/>
        </w:rPr>
        <w:t>运行（项）。年初预算为</w:t>
      </w:r>
      <w:r>
        <w:rPr>
          <w:rFonts w:hint="eastAsia" w:ascii="仿宋_GB2312" w:hAnsi="仿宋_GB2312" w:cs="仿宋_GB2312"/>
          <w:sz w:val="32"/>
          <w:szCs w:val="32"/>
          <w:lang w:val="en-US" w:eastAsia="zh-CN"/>
        </w:rPr>
        <w:t>90.15</w:t>
      </w:r>
      <w:r>
        <w:rPr>
          <w:rFonts w:hint="eastAsia" w:ascii="仿宋_GB2312" w:hAnsi="仿宋_GB2312" w:eastAsia="仿宋_GB2312" w:cs="仿宋_GB2312"/>
          <w:sz w:val="32"/>
          <w:szCs w:val="32"/>
          <w:lang w:val="en-US" w:eastAsia="zh-CN"/>
        </w:rPr>
        <w:t>万元，支出决算为</w:t>
      </w:r>
      <w:r>
        <w:rPr>
          <w:rFonts w:hint="eastAsia" w:ascii="仿宋_GB2312" w:hAnsi="仿宋_GB2312" w:cs="仿宋_GB2312"/>
          <w:sz w:val="32"/>
          <w:szCs w:val="32"/>
          <w:lang w:val="en-US" w:eastAsia="zh-CN"/>
        </w:rPr>
        <w:t>69.74</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lang w:val="en-US" w:eastAsia="zh-CN"/>
        </w:rPr>
        <w:t>，完成年初预算的</w:t>
      </w:r>
      <w:r>
        <w:rPr>
          <w:rFonts w:hint="eastAsia" w:ascii="仿宋_GB2312" w:hAnsi="仿宋_GB2312" w:cs="仿宋_GB2312"/>
          <w:sz w:val="32"/>
          <w:szCs w:val="32"/>
          <w:lang w:val="en-US" w:eastAsia="zh-CN"/>
        </w:rPr>
        <w:t>77</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36</w:t>
      </w:r>
      <w:r>
        <w:rPr>
          <w:rFonts w:hint="eastAsia" w:ascii="仿宋_GB2312" w:hAnsi="仿宋_GB2312" w:eastAsia="仿宋_GB2312" w:cs="仿宋_GB2312"/>
          <w:sz w:val="32"/>
          <w:szCs w:val="32"/>
          <w:lang w:val="en-US" w:eastAsia="zh-CN"/>
        </w:rPr>
        <w:t>%。决算数</w:t>
      </w:r>
      <w:r>
        <w:rPr>
          <w:rFonts w:hint="eastAsia" w:ascii="仿宋_GB2312" w:hAnsi="仿宋_GB2312" w:cs="仿宋_GB2312"/>
          <w:sz w:val="32"/>
          <w:szCs w:val="32"/>
          <w:lang w:val="en-US" w:eastAsia="zh-CN"/>
        </w:rPr>
        <w:t>小</w:t>
      </w:r>
      <w:r>
        <w:rPr>
          <w:rFonts w:hint="eastAsia" w:ascii="仿宋_GB2312" w:hAnsi="仿宋_GB2312" w:eastAsia="仿宋_GB2312" w:cs="仿宋_GB2312"/>
          <w:sz w:val="32"/>
          <w:szCs w:val="32"/>
          <w:lang w:val="en-US" w:eastAsia="zh-CN"/>
        </w:rPr>
        <w:t>于预算数的主要原因是</w:t>
      </w:r>
      <w:r>
        <w:rPr>
          <w:rFonts w:hint="eastAsia" w:ascii="仿宋_GB2312" w:hAnsi="仿宋_GB2312" w:cs="仿宋_GB2312"/>
          <w:sz w:val="32"/>
          <w:szCs w:val="32"/>
          <w:lang w:val="en-US" w:eastAsia="zh-CN"/>
        </w:rPr>
        <w:t>人员减少，人员经费减少</w:t>
      </w:r>
      <w:r>
        <w:rPr>
          <w:rFonts w:hint="eastAsia" w:ascii="仿宋_GB2312" w:hAnsi="仿宋_GB2312" w:eastAsia="仿宋_GB2312" w:cs="仿宋_GB2312"/>
          <w:sz w:val="32"/>
          <w:szCs w:val="32"/>
          <w:lang w:val="en-US" w:eastAsia="zh-CN"/>
        </w:rPr>
        <w:t>。</w:t>
      </w:r>
    </w:p>
    <w:p>
      <w:pPr>
        <w:pageBreakBefore w:val="0"/>
        <w:kinsoku/>
        <w:wordWrap/>
        <w:overflowPunct/>
        <w:topLinePunct w:val="0"/>
        <w:bidi w:val="0"/>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w:t>
      </w:r>
      <w:r>
        <w:rPr>
          <w:rFonts w:hint="eastAsia" w:ascii="仿宋_GB2312" w:hAnsi="仿宋_GB2312" w:cs="仿宋_GB2312"/>
          <w:b/>
          <w:bCs/>
          <w:sz w:val="32"/>
          <w:szCs w:val="32"/>
          <w:lang w:val="en-US" w:eastAsia="zh-CN"/>
        </w:rPr>
        <w:t>7</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公共安全支出（类）公安（款）一般行政管理事务（项）。年初预算为</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万元，支出决算为</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万元，完成年初预算的100%。决算数等于预算数。</w:t>
      </w:r>
    </w:p>
    <w:p>
      <w:pPr>
        <w:pageBreakBefore w:val="0"/>
        <w:kinsoku/>
        <w:wordWrap/>
        <w:overflowPunct/>
        <w:topLinePunct w:val="0"/>
        <w:bidi w:val="0"/>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w:t>
      </w:r>
      <w:r>
        <w:rPr>
          <w:rFonts w:hint="eastAsia" w:ascii="仿宋_GB2312" w:hAnsi="仿宋_GB2312" w:cs="仿宋_GB2312"/>
          <w:b/>
          <w:bCs/>
          <w:sz w:val="32"/>
          <w:szCs w:val="32"/>
          <w:lang w:val="en-US" w:eastAsia="zh-CN"/>
        </w:rPr>
        <w:t>8</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公共安全支出（类）公安（款）其他公安支出（项）。年初预算为</w:t>
      </w:r>
      <w:r>
        <w:rPr>
          <w:rFonts w:hint="eastAsia" w:ascii="仿宋_GB2312" w:hAnsi="仿宋_GB2312" w:cs="仿宋_GB2312"/>
          <w:sz w:val="32"/>
          <w:szCs w:val="32"/>
          <w:lang w:val="en-US" w:eastAsia="zh-CN"/>
        </w:rPr>
        <w:t>37.60</w:t>
      </w:r>
      <w:r>
        <w:rPr>
          <w:rFonts w:hint="eastAsia" w:ascii="仿宋_GB2312" w:hAnsi="仿宋_GB2312" w:eastAsia="仿宋_GB2312" w:cs="仿宋_GB2312"/>
          <w:sz w:val="32"/>
          <w:szCs w:val="32"/>
          <w:lang w:val="en-US" w:eastAsia="zh-CN"/>
        </w:rPr>
        <w:t>万元，支出决算为</w:t>
      </w:r>
      <w:r>
        <w:rPr>
          <w:rFonts w:hint="eastAsia" w:ascii="仿宋_GB2312" w:hAnsi="仿宋_GB2312" w:cs="仿宋_GB2312"/>
          <w:sz w:val="32"/>
          <w:szCs w:val="32"/>
          <w:lang w:val="en-US" w:eastAsia="zh-CN"/>
        </w:rPr>
        <w:t>30.31</w:t>
      </w:r>
      <w:r>
        <w:rPr>
          <w:rFonts w:hint="eastAsia" w:ascii="仿宋_GB2312" w:hAnsi="仿宋_GB2312" w:eastAsia="仿宋_GB2312" w:cs="仿宋_GB2312"/>
          <w:sz w:val="32"/>
          <w:szCs w:val="32"/>
          <w:lang w:val="en-US" w:eastAsia="zh-CN"/>
        </w:rPr>
        <w:t>万元，完成年初预算的</w:t>
      </w:r>
      <w:r>
        <w:rPr>
          <w:rFonts w:hint="eastAsia" w:ascii="仿宋_GB2312" w:hAnsi="仿宋_GB2312" w:cs="仿宋_GB2312"/>
          <w:sz w:val="32"/>
          <w:szCs w:val="32"/>
          <w:lang w:val="en-US" w:eastAsia="zh-CN"/>
        </w:rPr>
        <w:t>80.61</w:t>
      </w:r>
      <w:r>
        <w:rPr>
          <w:rFonts w:hint="eastAsia" w:ascii="仿宋_GB2312" w:hAnsi="仿宋_GB2312" w:eastAsia="仿宋_GB2312" w:cs="仿宋_GB2312"/>
          <w:sz w:val="32"/>
          <w:szCs w:val="32"/>
          <w:lang w:val="en-US" w:eastAsia="zh-CN"/>
        </w:rPr>
        <w:t>%。决算数</w:t>
      </w:r>
      <w:r>
        <w:rPr>
          <w:rFonts w:hint="eastAsia" w:ascii="仿宋_GB2312" w:hAnsi="仿宋_GB2312" w:cs="仿宋_GB2312"/>
          <w:sz w:val="32"/>
          <w:szCs w:val="32"/>
          <w:lang w:val="en-US" w:eastAsia="zh-CN"/>
        </w:rPr>
        <w:t>小</w:t>
      </w:r>
      <w:r>
        <w:rPr>
          <w:rFonts w:hint="eastAsia" w:ascii="仿宋_GB2312" w:hAnsi="仿宋_GB2312" w:eastAsia="仿宋_GB2312" w:cs="仿宋_GB2312"/>
          <w:sz w:val="32"/>
          <w:szCs w:val="32"/>
          <w:lang w:val="en-US" w:eastAsia="zh-CN"/>
        </w:rPr>
        <w:t>于预算数的主要原因是一村一警</w:t>
      </w:r>
      <w:r>
        <w:rPr>
          <w:rFonts w:hint="eastAsia" w:ascii="仿宋_GB2312" w:hAnsi="仿宋_GB2312" w:cs="仿宋_GB2312"/>
          <w:sz w:val="32"/>
          <w:szCs w:val="32"/>
          <w:lang w:val="en-US" w:eastAsia="zh-CN"/>
        </w:rPr>
        <w:t>务</w:t>
      </w:r>
      <w:r>
        <w:rPr>
          <w:rFonts w:hint="eastAsia" w:ascii="仿宋_GB2312" w:hAnsi="仿宋_GB2312" w:eastAsia="仿宋_GB2312" w:cs="仿宋_GB2312"/>
          <w:sz w:val="32"/>
          <w:szCs w:val="32"/>
          <w:lang w:val="en-US" w:eastAsia="zh-CN"/>
        </w:rPr>
        <w:t>人员</w:t>
      </w:r>
      <w:r>
        <w:rPr>
          <w:rFonts w:hint="eastAsia" w:ascii="仿宋_GB2312" w:hAnsi="仿宋_GB2312" w:cs="仿宋_GB2312"/>
          <w:sz w:val="32"/>
          <w:szCs w:val="32"/>
          <w:lang w:val="en-US" w:eastAsia="zh-CN"/>
        </w:rPr>
        <w:t>减少</w:t>
      </w:r>
      <w:r>
        <w:rPr>
          <w:rFonts w:hint="eastAsia" w:ascii="仿宋_GB2312" w:hAnsi="仿宋_GB2312" w:eastAsia="仿宋_GB2312" w:cs="仿宋_GB2312"/>
          <w:sz w:val="32"/>
          <w:szCs w:val="32"/>
          <w:lang w:val="en-US" w:eastAsia="zh-CN"/>
        </w:rPr>
        <w:t>。</w:t>
      </w:r>
    </w:p>
    <w:p>
      <w:pPr>
        <w:pageBreakBefore w:val="0"/>
        <w:kinsoku/>
        <w:wordWrap/>
        <w:overflowPunct/>
        <w:topLinePunct w:val="0"/>
        <w:bidi w:val="0"/>
        <w:snapToGrid/>
        <w:spacing w:line="580" w:lineRule="exact"/>
        <w:ind w:firstLine="643" w:firstLineChars="200"/>
        <w:textAlignment w:val="auto"/>
        <w:rPr>
          <w:rFonts w:hint="eastAsia" w:cs="Times New Roman"/>
          <w:sz w:val="32"/>
          <w:szCs w:val="32"/>
          <w:highlight w:val="none"/>
          <w:lang w:eastAsia="zh-CN"/>
        </w:rPr>
      </w:pPr>
      <w:r>
        <w:rPr>
          <w:rFonts w:hint="eastAsia" w:ascii="仿宋_GB2312" w:hAnsi="仿宋_GB2312" w:eastAsia="仿宋_GB2312" w:cs="仿宋_GB2312"/>
          <w:b/>
          <w:bCs/>
          <w:sz w:val="32"/>
          <w:szCs w:val="32"/>
          <w:lang w:val="en-US" w:eastAsia="zh-CN"/>
        </w:rPr>
        <w:t>（</w:t>
      </w:r>
      <w:r>
        <w:rPr>
          <w:rFonts w:hint="eastAsia" w:ascii="仿宋_GB2312" w:hAnsi="仿宋_GB2312" w:cs="仿宋_GB2312"/>
          <w:b/>
          <w:bCs/>
          <w:sz w:val="32"/>
          <w:szCs w:val="32"/>
          <w:lang w:val="en-US" w:eastAsia="zh-CN"/>
        </w:rPr>
        <w:t>9</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文化旅游体育与传媒支出（类）文化和旅游（款）其</w:t>
      </w:r>
      <w:r>
        <w:rPr>
          <w:rFonts w:hint="eastAsia" w:ascii="仿宋_GB2312" w:hAnsi="仿宋_GB2312" w:eastAsia="仿宋_GB2312" w:cs="仿宋_GB2312"/>
          <w:sz w:val="32"/>
          <w:szCs w:val="32"/>
          <w:highlight w:val="none"/>
          <w:lang w:val="en-US" w:eastAsia="zh-CN"/>
        </w:rPr>
        <w:t>他文化和旅游支出（项）</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%。决算数</w:t>
      </w:r>
      <w:r>
        <w:rPr>
          <w:rFonts w:hint="eastAsia" w:ascii="仿宋_GB2312" w:hAnsi="仿宋_GB2312" w:eastAsia="仿宋_GB2312" w:cs="仿宋_GB2312"/>
          <w:sz w:val="32"/>
          <w:szCs w:val="32"/>
          <w:highlight w:val="none"/>
          <w:lang w:eastAsia="zh-CN"/>
        </w:rPr>
        <w:t>等于</w:t>
      </w:r>
      <w:r>
        <w:rPr>
          <w:rFonts w:hint="eastAsia" w:ascii="仿宋_GB2312" w:hAnsi="仿宋_GB2312" w:eastAsia="仿宋_GB2312" w:cs="仿宋_GB2312"/>
          <w:sz w:val="32"/>
          <w:szCs w:val="32"/>
          <w:highlight w:val="none"/>
        </w:rPr>
        <w:t>预算数</w:t>
      </w:r>
      <w:r>
        <w:rPr>
          <w:rFonts w:hint="eastAsia" w:ascii="仿宋_GB2312" w:hAnsi="仿宋_GB2312" w:eastAsia="仿宋_GB2312" w:cs="仿宋_GB2312"/>
          <w:sz w:val="32"/>
          <w:szCs w:val="32"/>
          <w:highlight w:val="none"/>
          <w:lang w:eastAsia="zh-CN"/>
        </w:rPr>
        <w:t>。</w:t>
      </w:r>
    </w:p>
    <w:p>
      <w:pPr>
        <w:pageBreakBefore w:val="0"/>
        <w:kinsoku/>
        <w:wordWrap/>
        <w:overflowPunct/>
        <w:topLinePunct w:val="0"/>
        <w:bidi w:val="0"/>
        <w:snapToGrid/>
        <w:spacing w:line="580" w:lineRule="exact"/>
        <w:ind w:firstLine="640" w:firstLineChars="200"/>
        <w:textAlignment w:val="auto"/>
        <w:rPr>
          <w:rFonts w:hint="eastAsia" w:cs="Times New Roman"/>
          <w:sz w:val="32"/>
          <w:szCs w:val="32"/>
          <w:highlight w:val="none"/>
          <w:lang w:val="en-US" w:eastAsia="zh-CN"/>
        </w:rPr>
      </w:pPr>
      <w:r>
        <w:rPr>
          <w:rFonts w:hint="eastAsia" w:cs="Times New Roman"/>
          <w:sz w:val="32"/>
          <w:szCs w:val="32"/>
          <w:highlight w:val="none"/>
          <w:lang w:val="en-US" w:eastAsia="zh-CN"/>
        </w:rPr>
        <w:t>（10）社会保障和就业支出（类）行政事业单位养老支出（款）  机关事业单位基本养老保险缴费支出（项）</w:t>
      </w:r>
      <w:r>
        <w:rPr>
          <w:rFonts w:hint="eastAsia" w:cs="Times New Roman"/>
          <w:sz w:val="32"/>
          <w:szCs w:val="32"/>
          <w:highlight w:val="none"/>
        </w:rPr>
        <w:t>。年初预算为</w:t>
      </w:r>
      <w:r>
        <w:rPr>
          <w:rFonts w:hint="eastAsia" w:cs="Times New Roman"/>
          <w:sz w:val="32"/>
          <w:szCs w:val="32"/>
          <w:highlight w:val="none"/>
          <w:lang w:val="en-US" w:eastAsia="zh-CN"/>
        </w:rPr>
        <w:t>111.34万元，支出决算为121.00万元，完成年初预算的108.68%。决算数大于预算数的主要原因是人员增加，支出增加。</w:t>
      </w:r>
    </w:p>
    <w:p>
      <w:pPr>
        <w:pageBreakBefore w:val="0"/>
        <w:kinsoku/>
        <w:wordWrap/>
        <w:overflowPunct/>
        <w:topLinePunct w:val="0"/>
        <w:bidi w:val="0"/>
        <w:snapToGrid/>
        <w:spacing w:line="580" w:lineRule="exact"/>
        <w:ind w:firstLine="640" w:firstLineChars="200"/>
        <w:textAlignment w:val="auto"/>
        <w:rPr>
          <w:rFonts w:hint="eastAsia" w:cs="Times New Roman"/>
          <w:sz w:val="32"/>
          <w:szCs w:val="32"/>
          <w:highlight w:val="none"/>
          <w:lang w:val="en-US" w:eastAsia="zh-CN"/>
        </w:rPr>
      </w:pPr>
      <w:r>
        <w:rPr>
          <w:rFonts w:hint="eastAsia" w:cs="Times New Roman"/>
          <w:sz w:val="32"/>
          <w:szCs w:val="32"/>
          <w:highlight w:val="none"/>
          <w:lang w:val="en-US" w:eastAsia="zh-CN"/>
        </w:rPr>
        <w:t>（11）社会保障和就业支出（类）行政事业单位养老支出（款）  机关事业单位职业年金缴费支出（项）。年初预算为0万元，支出决算为6.76万元，完成年初预算的100%。决算数大于预算数的主要原因是干部在职转退休一人及在职辞职一人，职业年金虚账记实。</w:t>
      </w:r>
    </w:p>
    <w:p>
      <w:pPr>
        <w:pageBreakBefore w:val="0"/>
        <w:kinsoku/>
        <w:wordWrap/>
        <w:overflowPunct/>
        <w:topLinePunct w:val="0"/>
        <w:bidi w:val="0"/>
        <w:snapToGrid/>
        <w:spacing w:line="580" w:lineRule="exact"/>
        <w:ind w:firstLine="643" w:firstLineChars="200"/>
        <w:textAlignment w:val="auto"/>
        <w:rPr>
          <w:rFonts w:hint="eastAsia" w:cs="Times New Roman"/>
          <w:sz w:val="32"/>
          <w:szCs w:val="32"/>
          <w:highlight w:val="none"/>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en-US" w:eastAsia="zh-CN"/>
        </w:rPr>
        <w:t>）</w:t>
      </w:r>
      <w:r>
        <w:rPr>
          <w:rFonts w:hint="eastAsia" w:cs="Times New Roman"/>
          <w:sz w:val="32"/>
          <w:szCs w:val="32"/>
          <w:highlight w:val="none"/>
          <w:lang w:val="en-US" w:eastAsia="zh-CN"/>
        </w:rPr>
        <w:t>社会保障和就业支出（类）就业补助（款）公益性岗位补贴（项）。年初预算为30万元，支出决算为35万元，完成年初预算的116.67%。决算数大于预算数的主要原因是年初经费预算不足</w:t>
      </w:r>
      <w:r>
        <w:rPr>
          <w:rFonts w:hint="eastAsia" w:cs="Times New Roman"/>
          <w:sz w:val="32"/>
          <w:szCs w:val="32"/>
          <w:highlight w:val="none"/>
        </w:rPr>
        <w:t>。</w:t>
      </w:r>
    </w:p>
    <w:p>
      <w:pPr>
        <w:pageBreakBefore w:val="0"/>
        <w:kinsoku/>
        <w:wordWrap/>
        <w:overflowPunct/>
        <w:topLinePunct w:val="0"/>
        <w:bidi w:val="0"/>
        <w:snapToGrid/>
        <w:spacing w:line="580" w:lineRule="exact"/>
        <w:ind w:firstLine="640" w:firstLineChars="200"/>
        <w:textAlignment w:val="auto"/>
        <w:rPr>
          <w:rFonts w:hint="eastAsia" w:eastAsia="仿宋_GB2312" w:cs="Times New Roman"/>
          <w:sz w:val="32"/>
          <w:szCs w:val="32"/>
          <w:highlight w:val="none"/>
          <w:lang w:eastAsia="zh-CN"/>
        </w:rPr>
      </w:pPr>
      <w:r>
        <w:rPr>
          <w:rFonts w:hint="eastAsia" w:cs="Times New Roman"/>
          <w:sz w:val="32"/>
          <w:szCs w:val="32"/>
          <w:highlight w:val="none"/>
          <w:lang w:eastAsia="zh-CN"/>
        </w:rPr>
        <w:t>（</w:t>
      </w:r>
      <w:r>
        <w:rPr>
          <w:rFonts w:hint="eastAsia" w:cs="Times New Roman"/>
          <w:sz w:val="32"/>
          <w:szCs w:val="32"/>
          <w:highlight w:val="none"/>
          <w:lang w:val="en-US" w:eastAsia="zh-CN"/>
        </w:rPr>
        <w:t>13</w:t>
      </w:r>
      <w:r>
        <w:rPr>
          <w:rFonts w:hint="eastAsia" w:cs="Times New Roman"/>
          <w:sz w:val="32"/>
          <w:szCs w:val="32"/>
          <w:highlight w:val="none"/>
          <w:lang w:eastAsia="zh-CN"/>
        </w:rPr>
        <w:t>）</w:t>
      </w:r>
      <w:r>
        <w:rPr>
          <w:rFonts w:hint="eastAsia" w:cs="Times New Roman"/>
          <w:sz w:val="32"/>
          <w:szCs w:val="32"/>
          <w:highlight w:val="none"/>
        </w:rPr>
        <w:t>社会保障和就业支出（类）残疾人事业（款）其他残疾人事业支出（项）</w:t>
      </w:r>
      <w:r>
        <w:rPr>
          <w:rFonts w:hint="eastAsia" w:cs="Times New Roman"/>
          <w:sz w:val="32"/>
          <w:szCs w:val="32"/>
          <w:highlight w:val="none"/>
          <w:lang w:eastAsia="zh-CN"/>
        </w:rPr>
        <w:t>。</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1.</w:t>
      </w:r>
      <w:r>
        <w:rPr>
          <w:rFonts w:hint="eastAsia" w:ascii="仿宋_GB2312" w:hAnsi="仿宋_GB2312" w:cs="仿宋_GB2312"/>
          <w:sz w:val="32"/>
          <w:szCs w:val="32"/>
          <w:highlight w:val="none"/>
          <w:lang w:val="en-US" w:eastAsia="zh-CN"/>
        </w:rPr>
        <w:t>90</w:t>
      </w:r>
      <w:r>
        <w:rPr>
          <w:rFonts w:hint="eastAsia" w:ascii="仿宋_GB2312" w:hAnsi="仿宋_GB2312" w:eastAsia="仿宋_GB2312" w:cs="仿宋_GB2312"/>
          <w:sz w:val="32"/>
          <w:szCs w:val="32"/>
          <w:highlight w:val="none"/>
        </w:rPr>
        <w:t>万元，支出决算为</w:t>
      </w:r>
      <w:r>
        <w:rPr>
          <w:rFonts w:hint="eastAsia" w:ascii="仿宋_GB2312" w:hAnsi="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万元，完成年初预算的</w:t>
      </w:r>
      <w:r>
        <w:rPr>
          <w:rFonts w:hint="eastAsia" w:ascii="仿宋_GB2312" w:hAnsi="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%。决算数小于预算数的主要原因是</w:t>
      </w:r>
      <w:r>
        <w:rPr>
          <w:rFonts w:hint="eastAsia" w:ascii="仿宋_GB2312" w:hAnsi="仿宋_GB2312" w:cs="仿宋_GB2312"/>
          <w:sz w:val="32"/>
          <w:szCs w:val="32"/>
          <w:highlight w:val="none"/>
          <w:lang w:eastAsia="zh-CN"/>
        </w:rPr>
        <w:t>我单位有两名残疾人，抵扣残保金</w:t>
      </w:r>
      <w:r>
        <w:rPr>
          <w:rFonts w:hint="eastAsia" w:ascii="仿宋_GB2312" w:hAnsi="仿宋_GB2312" w:eastAsia="仿宋_GB2312" w:cs="仿宋_GB2312"/>
          <w:sz w:val="32"/>
          <w:szCs w:val="32"/>
          <w:highlight w:val="none"/>
        </w:rPr>
        <w:t>。</w:t>
      </w:r>
    </w:p>
    <w:p>
      <w:pPr>
        <w:pageBreakBefore w:val="0"/>
        <w:kinsoku/>
        <w:wordWrap/>
        <w:overflowPunct/>
        <w:topLinePunct w:val="0"/>
        <w:bidi w:val="0"/>
        <w:snapToGrid/>
        <w:spacing w:line="580" w:lineRule="exact"/>
        <w:ind w:firstLine="643" w:firstLineChars="200"/>
        <w:textAlignment w:val="auto"/>
        <w:rPr>
          <w:rFonts w:hint="eastAsia" w:cs="Times New Roman"/>
          <w:sz w:val="32"/>
          <w:szCs w:val="32"/>
          <w:highlight w:val="none"/>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sz w:val="32"/>
          <w:szCs w:val="32"/>
          <w:highlight w:val="none"/>
          <w:lang w:val="en-US" w:eastAsia="zh-CN"/>
        </w:rPr>
        <w:t>社会保障和就业支出（类）财政对其他社会保险基金的补助（款）财政对失业保险基金的补助（项）</w:t>
      </w:r>
      <w:r>
        <w:rPr>
          <w:rFonts w:hint="eastAsia" w:ascii="仿宋_GB2312" w:hAnsi="仿宋_GB2312" w:eastAsia="仿宋_GB2312" w:cs="仿宋_GB2312"/>
          <w:sz w:val="32"/>
          <w:szCs w:val="32"/>
          <w:highlight w:val="none"/>
        </w:rPr>
        <w:t>。年初预算为</w:t>
      </w:r>
      <w:r>
        <w:rPr>
          <w:rFonts w:hint="eastAsia" w:ascii="仿宋_GB2312" w:hAnsi="仿宋_GB2312" w:cs="仿宋_GB2312"/>
          <w:sz w:val="32"/>
          <w:szCs w:val="32"/>
          <w:highlight w:val="none"/>
          <w:lang w:val="en-US" w:eastAsia="zh-CN"/>
        </w:rPr>
        <w:t>1.75</w:t>
      </w:r>
      <w:r>
        <w:rPr>
          <w:rFonts w:hint="eastAsia" w:ascii="仿宋_GB2312" w:hAnsi="仿宋_GB2312" w:eastAsia="仿宋_GB2312" w:cs="仿宋_GB2312"/>
          <w:sz w:val="32"/>
          <w:szCs w:val="32"/>
          <w:highlight w:val="none"/>
        </w:rPr>
        <w:t>万元，支出决算为</w:t>
      </w:r>
      <w:r>
        <w:rPr>
          <w:rFonts w:hint="eastAsia" w:ascii="仿宋_GB2312" w:hAnsi="仿宋_GB2312" w:cs="仿宋_GB2312"/>
          <w:sz w:val="32"/>
          <w:szCs w:val="32"/>
          <w:highlight w:val="none"/>
          <w:lang w:val="en-US" w:eastAsia="zh-CN"/>
        </w:rPr>
        <w:t>2.23</w:t>
      </w:r>
      <w:r>
        <w:rPr>
          <w:rFonts w:hint="eastAsia" w:ascii="仿宋_GB2312" w:hAnsi="仿宋_GB2312" w:eastAsia="仿宋_GB2312" w:cs="仿宋_GB2312"/>
          <w:sz w:val="32"/>
          <w:szCs w:val="32"/>
          <w:highlight w:val="none"/>
        </w:rPr>
        <w:t>万元，完成年初预算的</w:t>
      </w:r>
      <w:r>
        <w:rPr>
          <w:rFonts w:hint="eastAsia" w:ascii="仿宋_GB2312" w:hAnsi="仿宋_GB2312" w:cs="仿宋_GB2312"/>
          <w:sz w:val="32"/>
          <w:szCs w:val="32"/>
          <w:highlight w:val="none"/>
          <w:lang w:val="en-US" w:eastAsia="zh-CN"/>
        </w:rPr>
        <w:t>127.43</w:t>
      </w:r>
      <w:r>
        <w:rPr>
          <w:rFonts w:hint="eastAsia" w:ascii="仿宋_GB2312" w:hAnsi="仿宋_GB2312" w:eastAsia="仿宋_GB2312" w:cs="仿宋_GB2312"/>
          <w:sz w:val="32"/>
          <w:szCs w:val="32"/>
          <w:highlight w:val="none"/>
        </w:rPr>
        <w:t>%。决算数大于预算数的主要原因是</w:t>
      </w:r>
      <w:r>
        <w:rPr>
          <w:rFonts w:hint="eastAsia" w:ascii="仿宋_GB2312" w:hAnsi="仿宋_GB2312" w:cs="仿宋_GB2312"/>
          <w:sz w:val="32"/>
          <w:szCs w:val="32"/>
          <w:highlight w:val="none"/>
          <w:lang w:eastAsia="zh-CN"/>
        </w:rPr>
        <w:t>失业保险基数调整及人员增加，经费增加</w:t>
      </w:r>
      <w:r>
        <w:rPr>
          <w:rFonts w:hint="eastAsia" w:ascii="仿宋_GB2312" w:hAnsi="仿宋_GB2312" w:eastAsia="仿宋_GB2312" w:cs="仿宋_GB2312"/>
          <w:sz w:val="32"/>
          <w:szCs w:val="32"/>
          <w:highlight w:val="none"/>
        </w:rPr>
        <w:t>。</w:t>
      </w:r>
    </w:p>
    <w:p>
      <w:pPr>
        <w:pageBreakBefore w:val="0"/>
        <w:kinsoku/>
        <w:wordWrap/>
        <w:overflowPunct/>
        <w:topLinePunct w:val="0"/>
        <w:bidi w:val="0"/>
        <w:snapToGrid/>
        <w:spacing w:line="580" w:lineRule="exact"/>
        <w:ind w:firstLine="643" w:firstLineChars="200"/>
        <w:textAlignment w:val="auto"/>
        <w:rPr>
          <w:rFonts w:hint="eastAsia" w:cs="Times New Roman"/>
          <w:sz w:val="32"/>
          <w:szCs w:val="32"/>
          <w:highlight w:val="none"/>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cs="仿宋_GB2312"/>
          <w:b/>
          <w:bCs/>
          <w:sz w:val="32"/>
          <w:szCs w:val="32"/>
          <w:highlight w:val="none"/>
          <w:lang w:val="en-US" w:eastAsia="zh-CN"/>
        </w:rPr>
        <w:t>5</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sz w:val="32"/>
          <w:szCs w:val="32"/>
          <w:highlight w:val="none"/>
          <w:lang w:val="en-US" w:eastAsia="zh-CN"/>
        </w:rPr>
        <w:t>社会保障和就业支出（类）财政对其他社会保险基金的补助（款）财政对工伤保险基金的补助（项）</w:t>
      </w:r>
      <w:r>
        <w:rPr>
          <w:rFonts w:hint="eastAsia" w:ascii="仿宋_GB2312" w:hAnsi="仿宋_GB2312" w:eastAsia="仿宋_GB2312" w:cs="仿宋_GB2312"/>
          <w:sz w:val="32"/>
          <w:szCs w:val="32"/>
          <w:highlight w:val="none"/>
        </w:rPr>
        <w:t>。年初预算为</w:t>
      </w:r>
      <w:r>
        <w:rPr>
          <w:rFonts w:hint="eastAsia" w:ascii="仿宋_GB2312" w:hAnsi="仿宋_GB2312" w:cs="仿宋_GB2312"/>
          <w:sz w:val="32"/>
          <w:szCs w:val="32"/>
          <w:highlight w:val="none"/>
          <w:lang w:val="en-US" w:eastAsia="zh-CN"/>
        </w:rPr>
        <w:t>3.87</w:t>
      </w:r>
      <w:r>
        <w:rPr>
          <w:rFonts w:hint="eastAsia" w:ascii="仿宋_GB2312" w:hAnsi="仿宋_GB2312" w:eastAsia="仿宋_GB2312" w:cs="仿宋_GB2312"/>
          <w:sz w:val="32"/>
          <w:szCs w:val="32"/>
          <w:highlight w:val="none"/>
        </w:rPr>
        <w:t>万元，支出决算为</w:t>
      </w:r>
      <w:r>
        <w:rPr>
          <w:rFonts w:hint="eastAsia" w:ascii="仿宋_GB2312" w:hAnsi="仿宋_GB2312" w:cs="仿宋_GB2312"/>
          <w:sz w:val="32"/>
          <w:szCs w:val="32"/>
          <w:highlight w:val="none"/>
          <w:lang w:val="en-US" w:eastAsia="zh-CN"/>
        </w:rPr>
        <w:t>2.98</w:t>
      </w:r>
      <w:r>
        <w:rPr>
          <w:rFonts w:hint="eastAsia" w:ascii="仿宋_GB2312" w:hAnsi="仿宋_GB2312" w:eastAsia="仿宋_GB2312" w:cs="仿宋_GB2312"/>
          <w:sz w:val="32"/>
          <w:szCs w:val="32"/>
          <w:highlight w:val="none"/>
        </w:rPr>
        <w:t>万元，完成年初预算的</w:t>
      </w:r>
      <w:r>
        <w:rPr>
          <w:rFonts w:hint="eastAsia" w:ascii="仿宋_GB2312" w:hAnsi="仿宋_GB2312" w:cs="仿宋_GB2312"/>
          <w:sz w:val="32"/>
          <w:szCs w:val="32"/>
          <w:highlight w:val="none"/>
          <w:lang w:val="en-US" w:eastAsia="zh-CN"/>
        </w:rPr>
        <w:t>77</w:t>
      </w:r>
      <w:r>
        <w:rPr>
          <w:rFonts w:hint="eastAsia" w:ascii="仿宋_GB2312" w:hAnsi="仿宋_GB2312" w:eastAsia="仿宋_GB2312" w:cs="仿宋_GB2312"/>
          <w:sz w:val="32"/>
          <w:szCs w:val="32"/>
          <w:highlight w:val="none"/>
        </w:rPr>
        <w:t>%。决算数</w:t>
      </w:r>
      <w:r>
        <w:rPr>
          <w:rFonts w:hint="eastAsia" w:ascii="仿宋_GB2312" w:hAnsi="仿宋_GB2312" w:cs="仿宋_GB2312"/>
          <w:sz w:val="32"/>
          <w:szCs w:val="32"/>
          <w:highlight w:val="none"/>
          <w:lang w:eastAsia="zh-CN"/>
        </w:rPr>
        <w:t>小</w:t>
      </w:r>
      <w:r>
        <w:rPr>
          <w:rFonts w:hint="eastAsia" w:ascii="仿宋_GB2312" w:hAnsi="仿宋_GB2312" w:eastAsia="仿宋_GB2312" w:cs="仿宋_GB2312"/>
          <w:sz w:val="32"/>
          <w:szCs w:val="32"/>
          <w:highlight w:val="none"/>
        </w:rPr>
        <w:t>于预算数的主要原因是</w:t>
      </w:r>
      <w:r>
        <w:rPr>
          <w:rFonts w:hint="eastAsia" w:ascii="仿宋_GB2312" w:hAnsi="仿宋_GB2312" w:cs="仿宋_GB2312"/>
          <w:sz w:val="32"/>
          <w:szCs w:val="32"/>
          <w:highlight w:val="none"/>
          <w:lang w:eastAsia="zh-CN"/>
        </w:rPr>
        <w:t>基数调整</w:t>
      </w:r>
      <w:r>
        <w:rPr>
          <w:rFonts w:hint="eastAsia" w:cs="Times New Roman"/>
          <w:sz w:val="32"/>
          <w:szCs w:val="32"/>
          <w:highlight w:val="none"/>
          <w:lang w:val="en-US" w:eastAsia="zh-CN"/>
        </w:rPr>
        <w:t>，</w:t>
      </w:r>
      <w:r>
        <w:rPr>
          <w:rFonts w:hint="eastAsia" w:ascii="仿宋_GB2312" w:hAnsi="仿宋_GB2312" w:eastAsia="仿宋_GB2312" w:cs="仿宋_GB2312"/>
          <w:sz w:val="32"/>
          <w:szCs w:val="32"/>
          <w:highlight w:val="none"/>
          <w:lang w:eastAsia="zh-CN"/>
        </w:rPr>
        <w:t>经费</w:t>
      </w:r>
      <w:r>
        <w:rPr>
          <w:rFonts w:hint="eastAsia" w:ascii="仿宋_GB2312" w:hAnsi="仿宋_GB2312" w:cs="仿宋_GB2312"/>
          <w:sz w:val="32"/>
          <w:szCs w:val="32"/>
          <w:highlight w:val="none"/>
          <w:lang w:eastAsia="zh-CN"/>
        </w:rPr>
        <w:t>减少</w:t>
      </w:r>
      <w:r>
        <w:rPr>
          <w:rFonts w:hint="eastAsia" w:ascii="仿宋_GB2312" w:hAnsi="仿宋_GB2312" w:eastAsia="仿宋_GB2312" w:cs="仿宋_GB2312"/>
          <w:sz w:val="32"/>
          <w:szCs w:val="32"/>
          <w:highlight w:val="none"/>
        </w:rPr>
        <w:t>。</w:t>
      </w:r>
    </w:p>
    <w:p>
      <w:pPr>
        <w:pageBreakBefore w:val="0"/>
        <w:kinsoku/>
        <w:wordWrap/>
        <w:overflowPunct/>
        <w:topLinePunct w:val="0"/>
        <w:bidi w:val="0"/>
        <w:snapToGrid/>
        <w:spacing w:line="58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cs="仿宋_GB2312"/>
          <w:b/>
          <w:bCs/>
          <w:sz w:val="32"/>
          <w:szCs w:val="32"/>
          <w:highlight w:val="none"/>
          <w:lang w:val="en-US" w:eastAsia="zh-CN"/>
        </w:rPr>
        <w:t>6</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sz w:val="32"/>
          <w:szCs w:val="32"/>
          <w:highlight w:val="none"/>
          <w:lang w:val="en-US" w:eastAsia="zh-CN"/>
        </w:rPr>
        <w:t>社会保障和就业支出（类）退役军人管理事务（款）事业运行（项）</w:t>
      </w:r>
      <w:r>
        <w:rPr>
          <w:rFonts w:hint="eastAsia" w:ascii="仿宋_GB2312" w:hAnsi="仿宋_GB2312" w:eastAsia="仿宋_GB2312" w:cs="仿宋_GB2312"/>
          <w:sz w:val="32"/>
          <w:szCs w:val="32"/>
          <w:highlight w:val="none"/>
        </w:rPr>
        <w:t>。年初预算为</w:t>
      </w:r>
      <w:r>
        <w:rPr>
          <w:rFonts w:hint="eastAsia" w:ascii="仿宋_GB2312" w:hAnsi="仿宋_GB2312" w:cs="仿宋_GB2312"/>
          <w:sz w:val="32"/>
          <w:szCs w:val="32"/>
          <w:highlight w:val="none"/>
          <w:lang w:val="en-US" w:eastAsia="zh-CN"/>
        </w:rPr>
        <w:t>50.65</w:t>
      </w:r>
      <w:r>
        <w:rPr>
          <w:rFonts w:hint="eastAsia" w:ascii="仿宋_GB2312" w:hAnsi="仿宋_GB2312" w:eastAsia="仿宋_GB2312" w:cs="仿宋_GB2312"/>
          <w:sz w:val="32"/>
          <w:szCs w:val="32"/>
          <w:highlight w:val="none"/>
        </w:rPr>
        <w:t>万元</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支出决算为</w:t>
      </w:r>
      <w:r>
        <w:rPr>
          <w:rFonts w:hint="eastAsia" w:ascii="仿宋_GB2312" w:hAnsi="仿宋_GB2312" w:cs="仿宋_GB2312"/>
          <w:sz w:val="32"/>
          <w:szCs w:val="32"/>
          <w:highlight w:val="none"/>
          <w:lang w:val="en-US" w:eastAsia="zh-CN"/>
        </w:rPr>
        <w:t>46.26</w:t>
      </w:r>
      <w:r>
        <w:rPr>
          <w:rFonts w:hint="eastAsia" w:ascii="仿宋_GB2312" w:hAnsi="仿宋_GB2312" w:eastAsia="仿宋_GB2312" w:cs="仿宋_GB2312"/>
          <w:sz w:val="32"/>
          <w:szCs w:val="32"/>
          <w:highlight w:val="none"/>
        </w:rPr>
        <w:t>万元，完成年初预算的</w:t>
      </w:r>
      <w:r>
        <w:rPr>
          <w:rFonts w:hint="eastAsia" w:ascii="仿宋_GB2312" w:hAnsi="仿宋_GB2312" w:cs="仿宋_GB2312"/>
          <w:sz w:val="32"/>
          <w:szCs w:val="32"/>
          <w:highlight w:val="none"/>
          <w:lang w:val="en-US" w:eastAsia="zh-CN"/>
        </w:rPr>
        <w:t>91.33</w:t>
      </w:r>
      <w:r>
        <w:rPr>
          <w:rFonts w:hint="eastAsia" w:ascii="仿宋_GB2312" w:hAnsi="仿宋_GB2312" w:eastAsia="仿宋_GB2312" w:cs="仿宋_GB2312"/>
          <w:sz w:val="32"/>
          <w:szCs w:val="32"/>
          <w:highlight w:val="none"/>
        </w:rPr>
        <w:t>%。决算数</w:t>
      </w:r>
      <w:r>
        <w:rPr>
          <w:rFonts w:hint="eastAsia" w:ascii="仿宋_GB2312" w:hAnsi="仿宋_GB2312" w:cs="仿宋_GB2312"/>
          <w:sz w:val="32"/>
          <w:szCs w:val="32"/>
          <w:highlight w:val="none"/>
          <w:lang w:eastAsia="zh-CN"/>
        </w:rPr>
        <w:t>小</w:t>
      </w:r>
      <w:r>
        <w:rPr>
          <w:rFonts w:hint="eastAsia" w:ascii="仿宋_GB2312" w:hAnsi="仿宋_GB2312" w:eastAsia="仿宋_GB2312" w:cs="仿宋_GB2312"/>
          <w:sz w:val="32"/>
          <w:szCs w:val="32"/>
          <w:highlight w:val="none"/>
        </w:rPr>
        <w:t>于预算数的主要原因是</w:t>
      </w:r>
      <w:r>
        <w:rPr>
          <w:rFonts w:hint="eastAsia" w:ascii="仿宋_GB2312" w:hAnsi="仿宋_GB2312" w:eastAsia="仿宋_GB2312" w:cs="仿宋_GB2312"/>
          <w:sz w:val="32"/>
          <w:szCs w:val="32"/>
          <w:highlight w:val="none"/>
          <w:lang w:eastAsia="zh-CN"/>
        </w:rPr>
        <w:t>人员</w:t>
      </w:r>
      <w:r>
        <w:rPr>
          <w:rFonts w:hint="eastAsia" w:ascii="仿宋_GB2312" w:hAnsi="仿宋_GB2312" w:cs="仿宋_GB2312"/>
          <w:sz w:val="32"/>
          <w:szCs w:val="32"/>
          <w:highlight w:val="none"/>
          <w:lang w:eastAsia="zh-CN"/>
        </w:rPr>
        <w:t>减少</w:t>
      </w:r>
      <w:r>
        <w:rPr>
          <w:rFonts w:hint="eastAsia" w:ascii="仿宋_GB2312" w:hAnsi="仿宋_GB2312" w:eastAsia="仿宋_GB2312" w:cs="仿宋_GB2312"/>
          <w:sz w:val="32"/>
          <w:szCs w:val="32"/>
          <w:highlight w:val="none"/>
        </w:rPr>
        <w:t>。</w:t>
      </w:r>
    </w:p>
    <w:p>
      <w:pPr>
        <w:pageBreakBefore w:val="0"/>
        <w:kinsoku/>
        <w:wordWrap/>
        <w:overflowPunct/>
        <w:topLinePunct w:val="0"/>
        <w:bidi w:val="0"/>
        <w:snapToGrid/>
        <w:spacing w:line="58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w:t>
      </w:r>
      <w:r>
        <w:rPr>
          <w:rFonts w:hint="eastAsia" w:ascii="仿宋_GB2312" w:hAnsi="仿宋_GB2312" w:cs="仿宋_GB2312"/>
          <w:b/>
          <w:bCs/>
          <w:sz w:val="32"/>
          <w:szCs w:val="32"/>
          <w:highlight w:val="none"/>
          <w:lang w:val="en-US" w:eastAsia="zh-CN"/>
        </w:rPr>
        <w:t>17</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sz w:val="32"/>
          <w:szCs w:val="32"/>
          <w:highlight w:val="none"/>
          <w:lang w:val="en-US" w:eastAsia="zh-CN"/>
        </w:rPr>
        <w:t>卫生健康支出（类）行政事业单位医疗（款）行政单位医疗（项）</w:t>
      </w:r>
      <w:r>
        <w:rPr>
          <w:rFonts w:hint="eastAsia" w:ascii="仿宋_GB2312" w:hAnsi="仿宋_GB2312" w:eastAsia="仿宋_GB2312" w:cs="仿宋_GB2312"/>
          <w:sz w:val="32"/>
          <w:szCs w:val="32"/>
          <w:highlight w:val="none"/>
        </w:rPr>
        <w:t>。年初预算为</w:t>
      </w:r>
      <w:r>
        <w:rPr>
          <w:rFonts w:hint="eastAsia" w:ascii="仿宋_GB2312" w:hAnsi="仿宋_GB2312" w:cs="仿宋_GB2312"/>
          <w:sz w:val="32"/>
          <w:szCs w:val="32"/>
          <w:highlight w:val="none"/>
          <w:lang w:val="en-US" w:eastAsia="zh-CN"/>
        </w:rPr>
        <w:t>26.96</w:t>
      </w:r>
      <w:r>
        <w:rPr>
          <w:rFonts w:hint="eastAsia" w:ascii="仿宋_GB2312" w:hAnsi="仿宋_GB2312" w:eastAsia="仿宋_GB2312" w:cs="仿宋_GB2312"/>
          <w:sz w:val="32"/>
          <w:szCs w:val="32"/>
          <w:highlight w:val="none"/>
        </w:rPr>
        <w:t>万元，支出决算为</w:t>
      </w:r>
      <w:r>
        <w:rPr>
          <w:rFonts w:hint="eastAsia" w:ascii="仿宋_GB2312" w:hAnsi="仿宋_GB2312" w:cs="仿宋_GB2312"/>
          <w:sz w:val="32"/>
          <w:szCs w:val="32"/>
          <w:highlight w:val="none"/>
          <w:lang w:val="en-US" w:eastAsia="zh-CN"/>
        </w:rPr>
        <w:t>32.84</w:t>
      </w:r>
      <w:r>
        <w:rPr>
          <w:rFonts w:hint="eastAsia" w:ascii="仿宋_GB2312" w:hAnsi="仿宋_GB2312" w:eastAsia="仿宋_GB2312" w:cs="仿宋_GB2312"/>
          <w:sz w:val="32"/>
          <w:szCs w:val="32"/>
          <w:highlight w:val="none"/>
        </w:rPr>
        <w:t>万元，完成年初预算的</w:t>
      </w:r>
      <w:r>
        <w:rPr>
          <w:rFonts w:hint="eastAsia" w:ascii="仿宋_GB2312" w:hAnsi="仿宋_GB2312" w:cs="仿宋_GB2312"/>
          <w:sz w:val="32"/>
          <w:szCs w:val="32"/>
          <w:highlight w:val="none"/>
          <w:lang w:val="en-US" w:eastAsia="zh-CN"/>
        </w:rPr>
        <w:t>121</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81</w:t>
      </w:r>
      <w:r>
        <w:rPr>
          <w:rFonts w:hint="eastAsia" w:ascii="仿宋_GB2312" w:hAnsi="仿宋_GB2312" w:eastAsia="仿宋_GB2312" w:cs="仿宋_GB2312"/>
          <w:sz w:val="32"/>
          <w:szCs w:val="32"/>
          <w:highlight w:val="none"/>
        </w:rPr>
        <w:t>%。决算数</w:t>
      </w:r>
      <w:r>
        <w:rPr>
          <w:rFonts w:hint="eastAsia" w:ascii="仿宋_GB2312" w:hAnsi="仿宋_GB2312" w:cs="仿宋_GB2312"/>
          <w:sz w:val="32"/>
          <w:szCs w:val="32"/>
          <w:highlight w:val="none"/>
          <w:lang w:eastAsia="zh-CN"/>
        </w:rPr>
        <w:t>大</w:t>
      </w:r>
      <w:r>
        <w:rPr>
          <w:rFonts w:hint="eastAsia" w:ascii="仿宋_GB2312" w:hAnsi="仿宋_GB2312" w:eastAsia="仿宋_GB2312" w:cs="仿宋_GB2312"/>
          <w:sz w:val="32"/>
          <w:szCs w:val="32"/>
          <w:highlight w:val="none"/>
        </w:rPr>
        <w:t>于预算数的主要原因是</w:t>
      </w:r>
      <w:r>
        <w:rPr>
          <w:rFonts w:hint="eastAsia" w:ascii="仿宋_GB2312" w:hAnsi="仿宋_GB2312" w:eastAsia="仿宋_GB2312" w:cs="仿宋_GB2312"/>
          <w:sz w:val="32"/>
          <w:szCs w:val="32"/>
          <w:highlight w:val="none"/>
          <w:lang w:eastAsia="zh-CN"/>
        </w:rPr>
        <w:t>人员</w:t>
      </w:r>
      <w:r>
        <w:rPr>
          <w:rFonts w:hint="eastAsia" w:ascii="仿宋_GB2312" w:hAnsi="仿宋_GB2312" w:cs="仿宋_GB2312"/>
          <w:sz w:val="32"/>
          <w:szCs w:val="32"/>
          <w:highlight w:val="none"/>
          <w:lang w:eastAsia="zh-CN"/>
        </w:rPr>
        <w:t>增加，经费增加</w:t>
      </w:r>
      <w:r>
        <w:rPr>
          <w:rFonts w:hint="eastAsia" w:ascii="仿宋_GB2312" w:hAnsi="仿宋_GB2312" w:eastAsia="仿宋_GB2312" w:cs="仿宋_GB2312"/>
          <w:sz w:val="32"/>
          <w:szCs w:val="32"/>
          <w:highlight w:val="none"/>
        </w:rPr>
        <w:t>。</w:t>
      </w:r>
    </w:p>
    <w:p>
      <w:pPr>
        <w:pageBreakBefore w:val="0"/>
        <w:kinsoku/>
        <w:wordWrap/>
        <w:overflowPunct/>
        <w:topLinePunct w:val="0"/>
        <w:bidi w:val="0"/>
        <w:snapToGrid/>
        <w:spacing w:line="580" w:lineRule="exact"/>
        <w:ind w:firstLine="643" w:firstLineChars="200"/>
        <w:textAlignment w:val="auto"/>
        <w:rPr>
          <w:rFonts w:hint="eastAsia" w:cs="Times New Roman"/>
          <w:sz w:val="32"/>
          <w:szCs w:val="32"/>
          <w:highlight w:val="none"/>
        </w:rPr>
      </w:pPr>
      <w:r>
        <w:rPr>
          <w:rFonts w:hint="eastAsia" w:ascii="仿宋_GB2312" w:hAnsi="仿宋_GB2312" w:eastAsia="仿宋_GB2312" w:cs="仿宋_GB2312"/>
          <w:b/>
          <w:bCs/>
          <w:sz w:val="32"/>
          <w:szCs w:val="32"/>
          <w:highlight w:val="none"/>
          <w:lang w:val="en-US" w:eastAsia="zh-CN"/>
        </w:rPr>
        <w:t>（</w:t>
      </w:r>
      <w:r>
        <w:rPr>
          <w:rFonts w:hint="eastAsia" w:ascii="仿宋_GB2312" w:hAnsi="仿宋_GB2312" w:cs="仿宋_GB2312"/>
          <w:b/>
          <w:bCs/>
          <w:sz w:val="32"/>
          <w:szCs w:val="32"/>
          <w:highlight w:val="none"/>
          <w:lang w:val="en-US" w:eastAsia="zh-CN"/>
        </w:rPr>
        <w:t>18</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sz w:val="32"/>
          <w:szCs w:val="32"/>
          <w:highlight w:val="none"/>
          <w:lang w:val="en-US" w:eastAsia="zh-CN"/>
        </w:rPr>
        <w:t>卫生健康支出（类）行政事业单位医疗（款）事业单位医疗（项）</w:t>
      </w:r>
      <w:r>
        <w:rPr>
          <w:rFonts w:hint="eastAsia" w:ascii="仿宋_GB2312" w:hAnsi="仿宋_GB2312" w:eastAsia="仿宋_GB2312" w:cs="仿宋_GB2312"/>
          <w:sz w:val="32"/>
          <w:szCs w:val="32"/>
          <w:highlight w:val="none"/>
        </w:rPr>
        <w:t>。年初预算为</w:t>
      </w: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6.</w:t>
      </w:r>
      <w:r>
        <w:rPr>
          <w:rFonts w:hint="eastAsia" w:ascii="仿宋_GB2312" w:hAnsi="仿宋_GB2312" w:cs="仿宋_GB2312"/>
          <w:sz w:val="32"/>
          <w:szCs w:val="32"/>
          <w:highlight w:val="none"/>
          <w:lang w:val="en-US" w:eastAsia="zh-CN"/>
        </w:rPr>
        <w:t>06</w:t>
      </w:r>
      <w:r>
        <w:rPr>
          <w:rFonts w:hint="eastAsia" w:ascii="仿宋_GB2312" w:hAnsi="仿宋_GB2312" w:eastAsia="仿宋_GB2312" w:cs="仿宋_GB2312"/>
          <w:sz w:val="32"/>
          <w:szCs w:val="32"/>
          <w:highlight w:val="none"/>
        </w:rPr>
        <w:t>万元，支出决算为</w:t>
      </w: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6</w:t>
      </w:r>
      <w:r>
        <w:rPr>
          <w:rFonts w:hint="eastAsia" w:ascii="仿宋_GB2312" w:hAnsi="仿宋_GB2312" w:cs="仿宋_GB2312"/>
          <w:sz w:val="32"/>
          <w:szCs w:val="32"/>
          <w:highlight w:val="none"/>
          <w:lang w:val="en-US" w:eastAsia="zh-CN"/>
        </w:rPr>
        <w:t>.06</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%。决算数</w:t>
      </w:r>
      <w:r>
        <w:rPr>
          <w:rFonts w:hint="eastAsia" w:ascii="仿宋_GB2312" w:hAnsi="仿宋_GB2312" w:eastAsia="仿宋_GB2312" w:cs="仿宋_GB2312"/>
          <w:sz w:val="32"/>
          <w:szCs w:val="32"/>
          <w:highlight w:val="none"/>
          <w:lang w:eastAsia="zh-CN"/>
        </w:rPr>
        <w:t>等于</w:t>
      </w:r>
      <w:r>
        <w:rPr>
          <w:rFonts w:hint="eastAsia" w:ascii="仿宋_GB2312" w:hAnsi="仿宋_GB2312" w:eastAsia="仿宋_GB2312" w:cs="仿宋_GB2312"/>
          <w:sz w:val="32"/>
          <w:szCs w:val="32"/>
          <w:highlight w:val="none"/>
        </w:rPr>
        <w:t>预算数。</w:t>
      </w:r>
    </w:p>
    <w:p>
      <w:pPr>
        <w:pageBreakBefore w:val="0"/>
        <w:kinsoku/>
        <w:wordWrap/>
        <w:overflowPunct/>
        <w:topLinePunct w:val="0"/>
        <w:bidi w:val="0"/>
        <w:snapToGrid/>
        <w:spacing w:line="58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w:t>
      </w:r>
      <w:r>
        <w:rPr>
          <w:rFonts w:hint="eastAsia" w:ascii="仿宋_GB2312" w:hAnsi="仿宋_GB2312" w:cs="仿宋_GB2312"/>
          <w:b/>
          <w:bCs/>
          <w:sz w:val="32"/>
          <w:szCs w:val="32"/>
          <w:highlight w:val="none"/>
          <w:lang w:val="en-US" w:eastAsia="zh-CN"/>
        </w:rPr>
        <w:t>19</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sz w:val="32"/>
          <w:szCs w:val="32"/>
          <w:highlight w:val="none"/>
          <w:lang w:val="en-US" w:eastAsia="zh-CN"/>
        </w:rPr>
        <w:t>卫生健康支出（类）行政事业单位医疗（款</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公务员医疗补助（项）</w:t>
      </w:r>
      <w:r>
        <w:rPr>
          <w:rFonts w:hint="eastAsia" w:ascii="仿宋_GB2312" w:hAnsi="仿宋_GB2312" w:eastAsia="仿宋_GB2312" w:cs="仿宋_GB2312"/>
          <w:sz w:val="32"/>
          <w:szCs w:val="32"/>
          <w:highlight w:val="none"/>
        </w:rPr>
        <w:t>。年初预算为</w:t>
      </w:r>
      <w:r>
        <w:rPr>
          <w:rFonts w:hint="eastAsia" w:ascii="仿宋_GB2312" w:hAnsi="仿宋_GB2312" w:cs="仿宋_GB2312"/>
          <w:sz w:val="32"/>
          <w:szCs w:val="32"/>
          <w:highlight w:val="none"/>
          <w:lang w:val="en-US" w:eastAsia="zh-CN"/>
        </w:rPr>
        <w:t>26</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70</w:t>
      </w:r>
      <w:r>
        <w:rPr>
          <w:rFonts w:hint="eastAsia" w:ascii="仿宋_GB2312" w:hAnsi="仿宋_GB2312" w:eastAsia="仿宋_GB2312" w:cs="仿宋_GB2312"/>
          <w:sz w:val="32"/>
          <w:szCs w:val="32"/>
          <w:highlight w:val="none"/>
        </w:rPr>
        <w:t>万元，支出决算为</w:t>
      </w:r>
      <w:r>
        <w:rPr>
          <w:rFonts w:hint="eastAsia" w:ascii="仿宋_GB2312" w:hAnsi="仿宋_GB2312" w:cs="仿宋_GB2312"/>
          <w:sz w:val="32"/>
          <w:szCs w:val="32"/>
          <w:highlight w:val="none"/>
          <w:lang w:val="en-US" w:eastAsia="zh-CN"/>
        </w:rPr>
        <w:t>29.58</w:t>
      </w:r>
      <w:r>
        <w:rPr>
          <w:rFonts w:hint="eastAsia" w:ascii="仿宋_GB2312" w:hAnsi="仿宋_GB2312" w:eastAsia="仿宋_GB2312" w:cs="仿宋_GB2312"/>
          <w:sz w:val="32"/>
          <w:szCs w:val="32"/>
          <w:highlight w:val="none"/>
        </w:rPr>
        <w:t>万元，完成年初预算的</w:t>
      </w:r>
      <w:r>
        <w:rPr>
          <w:rFonts w:hint="eastAsia" w:ascii="仿宋_GB2312" w:hAnsi="仿宋_GB2312" w:cs="仿宋_GB2312"/>
          <w:sz w:val="32"/>
          <w:szCs w:val="32"/>
          <w:highlight w:val="none"/>
          <w:lang w:val="en-US" w:eastAsia="zh-CN"/>
        </w:rPr>
        <w:t>110.79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决算数大于预算数的主要原因是人员增加，人员经费支出增加</w:t>
      </w:r>
      <w:r>
        <w:rPr>
          <w:rFonts w:hint="eastAsia" w:ascii="仿宋_GB2312" w:hAnsi="仿宋_GB2312" w:eastAsia="仿宋_GB2312" w:cs="仿宋_GB2312"/>
          <w:sz w:val="32"/>
          <w:szCs w:val="32"/>
          <w:highlight w:val="none"/>
        </w:rPr>
        <w:t>。</w:t>
      </w:r>
      <w:bookmarkStart w:id="121" w:name="_GoBack"/>
      <w:bookmarkEnd w:id="121"/>
    </w:p>
    <w:p>
      <w:pPr>
        <w:pageBreakBefore w:val="0"/>
        <w:kinsoku/>
        <w:wordWrap/>
        <w:overflowPunct/>
        <w:topLinePunct w:val="0"/>
        <w:bidi w:val="0"/>
        <w:snapToGrid/>
        <w:spacing w:line="58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cs="仿宋_GB2312"/>
          <w:b/>
          <w:bCs/>
          <w:sz w:val="32"/>
          <w:szCs w:val="32"/>
          <w:highlight w:val="none"/>
          <w:lang w:val="en-US" w:eastAsia="zh-CN"/>
        </w:rPr>
        <w:t>0</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sz w:val="32"/>
          <w:szCs w:val="32"/>
          <w:highlight w:val="none"/>
          <w:lang w:val="en-US" w:eastAsia="zh-CN"/>
        </w:rPr>
        <w:t>城乡社区支出（类）城乡社区管理事务（款）行政运行（项）</w:t>
      </w:r>
      <w:r>
        <w:rPr>
          <w:rFonts w:hint="eastAsia" w:ascii="仿宋_GB2312" w:hAnsi="仿宋_GB2312" w:eastAsia="仿宋_GB2312" w:cs="仿宋_GB2312"/>
          <w:sz w:val="32"/>
          <w:szCs w:val="32"/>
          <w:highlight w:val="none"/>
        </w:rPr>
        <w:t>。年初预算为</w:t>
      </w:r>
      <w:r>
        <w:rPr>
          <w:rFonts w:hint="eastAsia" w:ascii="仿宋_GB2312" w:hAnsi="仿宋_GB2312" w:cs="仿宋_GB2312"/>
          <w:sz w:val="32"/>
          <w:szCs w:val="32"/>
          <w:highlight w:val="none"/>
          <w:lang w:val="en-US" w:eastAsia="zh-CN"/>
        </w:rPr>
        <w:t>76.24</w:t>
      </w:r>
      <w:r>
        <w:rPr>
          <w:rFonts w:hint="eastAsia" w:ascii="仿宋_GB2312" w:hAnsi="仿宋_GB2312" w:eastAsia="仿宋_GB2312" w:cs="仿宋_GB2312"/>
          <w:sz w:val="32"/>
          <w:szCs w:val="32"/>
          <w:highlight w:val="none"/>
        </w:rPr>
        <w:t>万元，支出决算为</w:t>
      </w:r>
      <w:r>
        <w:rPr>
          <w:rFonts w:hint="eastAsia" w:ascii="仿宋_GB2312" w:hAnsi="仿宋_GB2312" w:cs="仿宋_GB2312"/>
          <w:sz w:val="32"/>
          <w:szCs w:val="32"/>
          <w:highlight w:val="none"/>
          <w:lang w:val="en-US" w:eastAsia="zh-CN"/>
        </w:rPr>
        <w:t>110</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0</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1</w:t>
      </w:r>
      <w:r>
        <w:rPr>
          <w:rFonts w:hint="eastAsia" w:ascii="仿宋_GB2312" w:hAnsi="仿宋_GB2312" w:cs="仿宋_GB2312"/>
          <w:sz w:val="32"/>
          <w:szCs w:val="32"/>
          <w:highlight w:val="none"/>
          <w:lang w:val="en-US" w:eastAsia="zh-CN"/>
        </w:rPr>
        <w:t>44</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28</w:t>
      </w:r>
      <w:r>
        <w:rPr>
          <w:rFonts w:hint="eastAsia" w:ascii="仿宋_GB2312" w:hAnsi="仿宋_GB2312" w:eastAsia="仿宋_GB2312" w:cs="仿宋_GB2312"/>
          <w:sz w:val="32"/>
          <w:szCs w:val="32"/>
          <w:highlight w:val="none"/>
          <w:lang w:val="en-US" w:eastAsia="zh-CN"/>
        </w:rPr>
        <w:t>%。决算数大于预算数的主要原因是人员增加，人员经费支出增加。</w:t>
      </w:r>
    </w:p>
    <w:p>
      <w:pPr>
        <w:pageBreakBefore w:val="0"/>
        <w:kinsoku/>
        <w:wordWrap/>
        <w:overflowPunct/>
        <w:topLinePunct w:val="0"/>
        <w:bidi w:val="0"/>
        <w:snapToGrid/>
        <w:spacing w:line="58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sz w:val="32"/>
          <w:szCs w:val="32"/>
          <w:highlight w:val="none"/>
          <w:lang w:val="en-US" w:eastAsia="zh-CN"/>
        </w:rPr>
        <w:t>城乡社区支出（类）城乡社区环境卫生（款）城乡社区环境卫生（项）。年初预算为</w:t>
      </w:r>
      <w:r>
        <w:rPr>
          <w:rFonts w:hint="eastAsia" w:ascii="仿宋_GB2312" w:hAnsi="仿宋_GB2312" w:cs="仿宋_GB2312"/>
          <w:sz w:val="32"/>
          <w:szCs w:val="32"/>
          <w:highlight w:val="none"/>
          <w:lang w:val="en-US" w:eastAsia="zh-CN"/>
        </w:rPr>
        <w:t>34</w:t>
      </w:r>
      <w:r>
        <w:rPr>
          <w:rFonts w:hint="eastAsia" w:ascii="仿宋_GB2312" w:hAnsi="仿宋_GB2312" w:eastAsia="仿宋_GB2312" w:cs="仿宋_GB2312"/>
          <w:sz w:val="32"/>
          <w:szCs w:val="32"/>
          <w:highlight w:val="none"/>
          <w:lang w:val="en-US" w:eastAsia="zh-CN"/>
        </w:rPr>
        <w:t>万元，支出决算为</w:t>
      </w:r>
      <w:r>
        <w:rPr>
          <w:rFonts w:hint="eastAsia" w:ascii="仿宋_GB2312" w:hAnsi="仿宋_GB2312" w:cs="仿宋_GB2312"/>
          <w:sz w:val="32"/>
          <w:szCs w:val="32"/>
          <w:highlight w:val="none"/>
          <w:lang w:val="en-US" w:eastAsia="zh-CN"/>
        </w:rPr>
        <w:t>34</w:t>
      </w:r>
      <w:r>
        <w:rPr>
          <w:rFonts w:hint="eastAsia" w:ascii="仿宋_GB2312" w:hAnsi="仿宋_GB2312" w:eastAsia="仿宋_GB2312" w:cs="仿宋_GB2312"/>
          <w:sz w:val="32"/>
          <w:szCs w:val="32"/>
          <w:highlight w:val="none"/>
          <w:lang w:val="en-US" w:eastAsia="zh-CN"/>
        </w:rPr>
        <w:t>万元，完成年初预算的</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val="en-US" w:eastAsia="zh-CN"/>
        </w:rPr>
        <w:t>%。决算数</w:t>
      </w:r>
      <w:r>
        <w:rPr>
          <w:rFonts w:hint="eastAsia" w:ascii="仿宋_GB2312" w:hAnsi="仿宋_GB2312" w:cs="仿宋_GB2312"/>
          <w:sz w:val="32"/>
          <w:szCs w:val="32"/>
          <w:highlight w:val="none"/>
          <w:lang w:val="en-US" w:eastAsia="zh-CN"/>
        </w:rPr>
        <w:t>等</w:t>
      </w:r>
      <w:r>
        <w:rPr>
          <w:rFonts w:hint="eastAsia" w:ascii="仿宋_GB2312" w:hAnsi="仿宋_GB2312" w:eastAsia="仿宋_GB2312" w:cs="仿宋_GB2312"/>
          <w:sz w:val="32"/>
          <w:szCs w:val="32"/>
          <w:highlight w:val="none"/>
          <w:lang w:val="en-US" w:eastAsia="zh-CN"/>
        </w:rPr>
        <w:t>于预算数。</w:t>
      </w:r>
    </w:p>
    <w:p>
      <w:pPr>
        <w:pageBreakBefore w:val="0"/>
        <w:kinsoku/>
        <w:wordWrap/>
        <w:overflowPunct/>
        <w:topLinePunct w:val="0"/>
        <w:bidi w:val="0"/>
        <w:snapToGrid/>
        <w:spacing w:line="58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sz w:val="32"/>
          <w:szCs w:val="32"/>
          <w:highlight w:val="none"/>
          <w:lang w:val="en-US" w:eastAsia="zh-CN"/>
        </w:rPr>
        <w:t>农林水支出（类）农业农村（款）事业运行（项）。年初预算为</w:t>
      </w:r>
      <w:r>
        <w:rPr>
          <w:rFonts w:hint="eastAsia" w:ascii="仿宋_GB2312" w:hAnsi="仿宋_GB2312" w:cs="仿宋_GB2312"/>
          <w:sz w:val="32"/>
          <w:szCs w:val="32"/>
          <w:highlight w:val="none"/>
          <w:lang w:val="en-US" w:eastAsia="zh-CN"/>
        </w:rPr>
        <w:t>249.07</w:t>
      </w:r>
      <w:r>
        <w:rPr>
          <w:rFonts w:hint="eastAsia" w:ascii="仿宋_GB2312" w:hAnsi="仿宋_GB2312" w:eastAsia="仿宋_GB2312" w:cs="仿宋_GB2312"/>
          <w:sz w:val="32"/>
          <w:szCs w:val="32"/>
          <w:highlight w:val="none"/>
          <w:lang w:val="en-US" w:eastAsia="zh-CN"/>
        </w:rPr>
        <w:t>万元，支出决算为</w:t>
      </w:r>
      <w:r>
        <w:rPr>
          <w:rFonts w:hint="eastAsia" w:ascii="仿宋_GB2312" w:hAnsi="仿宋_GB2312" w:cs="仿宋_GB2312"/>
          <w:sz w:val="32"/>
          <w:szCs w:val="32"/>
          <w:highlight w:val="none"/>
          <w:lang w:val="en-US" w:eastAsia="zh-CN"/>
        </w:rPr>
        <w:t>231.53</w:t>
      </w:r>
      <w:r>
        <w:rPr>
          <w:rFonts w:hint="eastAsia" w:ascii="仿宋_GB2312" w:hAnsi="仿宋_GB2312" w:eastAsia="仿宋_GB2312" w:cs="仿宋_GB2312"/>
          <w:sz w:val="32"/>
          <w:szCs w:val="32"/>
          <w:highlight w:val="none"/>
          <w:lang w:val="en-US" w:eastAsia="zh-CN"/>
        </w:rPr>
        <w:t>万元，完成年初预算的</w:t>
      </w:r>
      <w:r>
        <w:rPr>
          <w:rFonts w:hint="eastAsia" w:ascii="仿宋_GB2312" w:hAnsi="仿宋_GB2312" w:cs="仿宋_GB2312"/>
          <w:sz w:val="32"/>
          <w:szCs w:val="32"/>
          <w:highlight w:val="none"/>
          <w:lang w:val="en-US" w:eastAsia="zh-CN"/>
        </w:rPr>
        <w:t>92.96</w:t>
      </w:r>
      <w:r>
        <w:rPr>
          <w:rFonts w:hint="eastAsia" w:ascii="仿宋_GB2312" w:hAnsi="仿宋_GB2312" w:eastAsia="仿宋_GB2312" w:cs="仿宋_GB2312"/>
          <w:sz w:val="32"/>
          <w:szCs w:val="32"/>
          <w:highlight w:val="none"/>
          <w:lang w:val="en-US" w:eastAsia="zh-CN"/>
        </w:rPr>
        <w:t>%。决算数</w:t>
      </w:r>
      <w:r>
        <w:rPr>
          <w:rFonts w:hint="eastAsia" w:ascii="仿宋_GB2312" w:hAnsi="仿宋_GB2312" w:cs="仿宋_GB2312"/>
          <w:sz w:val="32"/>
          <w:szCs w:val="32"/>
          <w:highlight w:val="none"/>
          <w:lang w:val="en-US" w:eastAsia="zh-CN"/>
        </w:rPr>
        <w:t>小</w:t>
      </w:r>
      <w:r>
        <w:rPr>
          <w:rFonts w:hint="eastAsia" w:ascii="仿宋_GB2312" w:hAnsi="仿宋_GB2312" w:eastAsia="仿宋_GB2312" w:cs="仿宋_GB2312"/>
          <w:sz w:val="32"/>
          <w:szCs w:val="32"/>
          <w:highlight w:val="none"/>
          <w:lang w:val="en-US" w:eastAsia="zh-CN"/>
        </w:rPr>
        <w:t>于预算数的主要原因是人员</w:t>
      </w:r>
      <w:r>
        <w:rPr>
          <w:rFonts w:hint="eastAsia" w:ascii="仿宋_GB2312" w:hAnsi="仿宋_GB2312" w:cs="仿宋_GB2312"/>
          <w:sz w:val="32"/>
          <w:szCs w:val="32"/>
          <w:highlight w:val="none"/>
          <w:lang w:val="en-US" w:eastAsia="zh-CN"/>
        </w:rPr>
        <w:t>减少，经费</w:t>
      </w:r>
      <w:r>
        <w:rPr>
          <w:rFonts w:hint="eastAsia" w:ascii="仿宋_GB2312" w:hAnsi="仿宋_GB2312" w:eastAsia="仿宋_GB2312" w:cs="仿宋_GB2312"/>
          <w:sz w:val="32"/>
          <w:szCs w:val="32"/>
          <w:highlight w:val="none"/>
          <w:lang w:val="en-US" w:eastAsia="zh-CN"/>
        </w:rPr>
        <w:t>支出</w:t>
      </w:r>
      <w:r>
        <w:rPr>
          <w:rFonts w:hint="eastAsia" w:ascii="仿宋_GB2312" w:hAnsi="仿宋_GB2312" w:cs="仿宋_GB2312"/>
          <w:sz w:val="32"/>
          <w:szCs w:val="32"/>
          <w:highlight w:val="none"/>
          <w:lang w:val="en-US" w:eastAsia="zh-CN"/>
        </w:rPr>
        <w:t>减少</w:t>
      </w:r>
      <w:r>
        <w:rPr>
          <w:rFonts w:hint="eastAsia" w:ascii="仿宋_GB2312" w:hAnsi="仿宋_GB2312" w:eastAsia="仿宋_GB2312" w:cs="仿宋_GB2312"/>
          <w:sz w:val="32"/>
          <w:szCs w:val="32"/>
          <w:highlight w:val="none"/>
          <w:lang w:val="en-US" w:eastAsia="zh-CN"/>
        </w:rPr>
        <w:t>。</w:t>
      </w:r>
    </w:p>
    <w:p>
      <w:pPr>
        <w:pageBreakBefore w:val="0"/>
        <w:kinsoku/>
        <w:wordWrap/>
        <w:overflowPunct/>
        <w:topLinePunct w:val="0"/>
        <w:bidi w:val="0"/>
        <w:snapToGrid/>
        <w:spacing w:line="58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i w:val="0"/>
          <w:iCs w:val="0"/>
          <w:sz w:val="32"/>
          <w:szCs w:val="32"/>
          <w:highlight w:val="none"/>
          <w:lang w:val="en-US" w:eastAsia="zh-CN"/>
        </w:rPr>
        <w:t>（</w:t>
      </w:r>
      <w:r>
        <w:rPr>
          <w:rFonts w:hint="eastAsia" w:ascii="仿宋_GB2312" w:hAnsi="仿宋_GB2312" w:cs="仿宋_GB2312"/>
          <w:b/>
          <w:bCs/>
          <w:i w:val="0"/>
          <w:iCs w:val="0"/>
          <w:sz w:val="32"/>
          <w:szCs w:val="32"/>
          <w:highlight w:val="none"/>
          <w:lang w:val="en-US" w:eastAsia="zh-CN"/>
        </w:rPr>
        <w:t>23</w:t>
      </w:r>
      <w:r>
        <w:rPr>
          <w:rFonts w:hint="eastAsia" w:ascii="仿宋_GB2312" w:hAnsi="仿宋_GB2312" w:eastAsia="仿宋_GB2312" w:cs="仿宋_GB2312"/>
          <w:b/>
          <w:bCs/>
          <w:i w:val="0"/>
          <w:iCs w:val="0"/>
          <w:sz w:val="32"/>
          <w:szCs w:val="32"/>
          <w:highlight w:val="none"/>
          <w:lang w:val="en-US" w:eastAsia="zh-CN"/>
        </w:rPr>
        <w:t>）</w:t>
      </w:r>
      <w:r>
        <w:rPr>
          <w:rFonts w:hint="eastAsia" w:ascii="仿宋_GB2312" w:hAnsi="仿宋_GB2312" w:eastAsia="仿宋_GB2312" w:cs="仿宋_GB2312"/>
          <w:sz w:val="32"/>
          <w:szCs w:val="32"/>
          <w:highlight w:val="none"/>
          <w:lang w:val="en-US" w:eastAsia="zh-CN"/>
        </w:rPr>
        <w:t>农林水支出（类）农村综合改革（款）对村民委员会和村党支部的补助（项）。年初预算为</w:t>
      </w:r>
      <w:r>
        <w:rPr>
          <w:rFonts w:hint="eastAsia" w:ascii="仿宋_GB2312" w:hAnsi="仿宋_GB2312" w:cs="仿宋_GB2312"/>
          <w:sz w:val="32"/>
          <w:szCs w:val="32"/>
          <w:highlight w:val="none"/>
          <w:lang w:val="en-US" w:eastAsia="zh-CN"/>
        </w:rPr>
        <w:t>435.70</w:t>
      </w:r>
      <w:r>
        <w:rPr>
          <w:rFonts w:hint="eastAsia" w:ascii="仿宋_GB2312" w:hAnsi="仿宋_GB2312" w:eastAsia="仿宋_GB2312" w:cs="仿宋_GB2312"/>
          <w:sz w:val="32"/>
          <w:szCs w:val="32"/>
          <w:highlight w:val="none"/>
          <w:lang w:val="en-US" w:eastAsia="zh-CN"/>
        </w:rPr>
        <w:t>万元，支出决算为</w:t>
      </w:r>
      <w:r>
        <w:rPr>
          <w:rFonts w:hint="eastAsia" w:ascii="仿宋_GB2312" w:hAnsi="仿宋_GB2312" w:cs="仿宋_GB2312"/>
          <w:sz w:val="32"/>
          <w:szCs w:val="32"/>
          <w:highlight w:val="none"/>
          <w:lang w:val="en-US" w:eastAsia="zh-CN"/>
        </w:rPr>
        <w:t>460.19</w:t>
      </w:r>
      <w:r>
        <w:rPr>
          <w:rFonts w:hint="eastAsia" w:ascii="仿宋_GB2312" w:hAnsi="仿宋_GB2312" w:eastAsia="仿宋_GB2312" w:cs="仿宋_GB2312"/>
          <w:sz w:val="32"/>
          <w:szCs w:val="32"/>
          <w:highlight w:val="none"/>
          <w:lang w:val="en-US" w:eastAsia="zh-CN"/>
        </w:rPr>
        <w:t>万元，完成年初预算的10</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62</w:t>
      </w:r>
      <w:r>
        <w:rPr>
          <w:rFonts w:hint="eastAsia" w:ascii="仿宋_GB2312" w:hAnsi="仿宋_GB2312" w:eastAsia="仿宋_GB2312" w:cs="仿宋_GB2312"/>
          <w:sz w:val="32"/>
          <w:szCs w:val="32"/>
          <w:highlight w:val="none"/>
          <w:lang w:val="en-US" w:eastAsia="zh-CN"/>
        </w:rPr>
        <w:t>%。决算数大于预算数的主要</w:t>
      </w:r>
      <w:r>
        <w:rPr>
          <w:rFonts w:hint="eastAsia" w:ascii="仿宋_GB2312" w:hAnsi="仿宋_GB2312" w:eastAsia="仿宋_GB2312" w:cs="仿宋_GB2312"/>
          <w:sz w:val="32"/>
          <w:szCs w:val="32"/>
          <w:highlight w:val="none"/>
        </w:rPr>
        <w:t>原因</w:t>
      </w:r>
      <w:r>
        <w:rPr>
          <w:rFonts w:hint="eastAsia" w:ascii="仿宋_GB2312" w:hAnsi="仿宋_GB2312" w:eastAsia="仿宋_GB2312" w:cs="仿宋_GB2312"/>
          <w:sz w:val="32"/>
          <w:szCs w:val="32"/>
          <w:highlight w:val="none"/>
          <w:lang w:val="en-US" w:eastAsia="zh-CN"/>
        </w:rPr>
        <w:t>是人员变动，经费增加。</w:t>
      </w:r>
    </w:p>
    <w:p>
      <w:pPr>
        <w:pageBreakBefore w:val="0"/>
        <w:kinsoku/>
        <w:wordWrap/>
        <w:overflowPunct/>
        <w:topLinePunct w:val="0"/>
        <w:bidi w:val="0"/>
        <w:snapToGrid/>
        <w:spacing w:line="58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w:t>
      </w:r>
      <w:r>
        <w:rPr>
          <w:rFonts w:hint="eastAsia" w:ascii="仿宋_GB2312" w:hAnsi="仿宋_GB2312" w:cs="仿宋_GB2312"/>
          <w:b/>
          <w:bCs/>
          <w:sz w:val="32"/>
          <w:szCs w:val="32"/>
          <w:highlight w:val="none"/>
          <w:lang w:val="en-US" w:eastAsia="zh-CN"/>
        </w:rPr>
        <w:t>24</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sz w:val="32"/>
          <w:szCs w:val="32"/>
          <w:highlight w:val="none"/>
          <w:lang w:val="en-US" w:eastAsia="zh-CN"/>
        </w:rPr>
        <w:t>住房保障支出（类）住房改革支出（款）住房公积金（项）。年初预算为</w:t>
      </w:r>
      <w:r>
        <w:rPr>
          <w:rFonts w:hint="eastAsia" w:ascii="仿宋_GB2312" w:hAnsi="仿宋_GB2312" w:cs="仿宋_GB2312"/>
          <w:sz w:val="32"/>
          <w:szCs w:val="32"/>
          <w:highlight w:val="none"/>
          <w:lang w:val="en-US" w:eastAsia="zh-CN"/>
        </w:rPr>
        <w:t>101.10</w:t>
      </w:r>
      <w:r>
        <w:rPr>
          <w:rFonts w:hint="eastAsia" w:ascii="仿宋_GB2312" w:hAnsi="仿宋_GB2312" w:eastAsia="仿宋_GB2312" w:cs="仿宋_GB2312"/>
          <w:sz w:val="32"/>
          <w:szCs w:val="32"/>
          <w:highlight w:val="none"/>
          <w:lang w:val="en-US" w:eastAsia="zh-CN"/>
        </w:rPr>
        <w:t>万元，支出决算为</w:t>
      </w:r>
      <w:r>
        <w:rPr>
          <w:rFonts w:hint="eastAsia" w:ascii="仿宋_GB2312" w:hAnsi="仿宋_GB2312" w:cs="仿宋_GB2312"/>
          <w:sz w:val="32"/>
          <w:szCs w:val="32"/>
          <w:highlight w:val="none"/>
          <w:lang w:val="en-US" w:eastAsia="zh-CN"/>
        </w:rPr>
        <w:t>133.63</w:t>
      </w:r>
      <w:r>
        <w:rPr>
          <w:rFonts w:hint="eastAsia" w:ascii="仿宋_GB2312" w:hAnsi="仿宋_GB2312" w:eastAsia="仿宋_GB2312" w:cs="仿宋_GB2312"/>
          <w:sz w:val="32"/>
          <w:szCs w:val="32"/>
          <w:highlight w:val="none"/>
          <w:lang w:val="en-US" w:eastAsia="zh-CN"/>
        </w:rPr>
        <w:t>万元，完成年初预算的</w:t>
      </w:r>
      <w:r>
        <w:rPr>
          <w:rFonts w:hint="eastAsia" w:ascii="仿宋_GB2312" w:hAnsi="仿宋_GB2312" w:cs="仿宋_GB2312"/>
          <w:sz w:val="32"/>
          <w:szCs w:val="32"/>
          <w:highlight w:val="none"/>
          <w:lang w:val="en-US" w:eastAsia="zh-CN"/>
        </w:rPr>
        <w:t>132.18</w:t>
      </w:r>
      <w:r>
        <w:rPr>
          <w:rFonts w:hint="eastAsia" w:ascii="仿宋_GB2312" w:hAnsi="仿宋_GB2312" w:eastAsia="仿宋_GB2312" w:cs="仿宋_GB2312"/>
          <w:sz w:val="32"/>
          <w:szCs w:val="32"/>
          <w:highlight w:val="none"/>
          <w:lang w:val="en-US" w:eastAsia="zh-CN"/>
        </w:rPr>
        <w:t>%。决算数大于预算数的主要原因是公积金基数调整，支出增加。</w:t>
      </w:r>
    </w:p>
    <w:p>
      <w:pPr>
        <w:pageBreakBefore w:val="0"/>
        <w:kinsoku/>
        <w:wordWrap/>
        <w:overflowPunct/>
        <w:topLinePunct w:val="0"/>
        <w:bidi w:val="0"/>
        <w:snapToGrid/>
        <w:spacing w:line="58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w:t>
      </w:r>
      <w:r>
        <w:rPr>
          <w:rFonts w:hint="eastAsia" w:ascii="仿宋_GB2312" w:hAnsi="仿宋_GB2312" w:cs="仿宋_GB2312"/>
          <w:b/>
          <w:bCs/>
          <w:sz w:val="32"/>
          <w:szCs w:val="32"/>
          <w:highlight w:val="none"/>
          <w:lang w:val="en-US" w:eastAsia="zh-CN"/>
        </w:rPr>
        <w:t>25</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sz w:val="32"/>
          <w:szCs w:val="32"/>
          <w:highlight w:val="none"/>
          <w:lang w:val="en-US" w:eastAsia="zh-CN"/>
        </w:rPr>
        <w:t>灾害防治及应急管理支出（类）应急管理事务（款）安全监管（项）。年初预算为</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万元，支出决算为</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万元，完成年初预算的</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val="en-US" w:eastAsia="zh-CN"/>
        </w:rPr>
        <w:t>%。决算数</w:t>
      </w:r>
      <w:r>
        <w:rPr>
          <w:rFonts w:hint="eastAsia" w:ascii="仿宋_GB2312" w:hAnsi="仿宋_GB2312" w:cs="仿宋_GB2312"/>
          <w:sz w:val="32"/>
          <w:szCs w:val="32"/>
          <w:highlight w:val="none"/>
          <w:lang w:val="en-US" w:eastAsia="zh-CN"/>
        </w:rPr>
        <w:t>等</w:t>
      </w:r>
      <w:r>
        <w:rPr>
          <w:rFonts w:hint="eastAsia" w:ascii="仿宋_GB2312" w:hAnsi="仿宋_GB2312" w:eastAsia="仿宋_GB2312" w:cs="仿宋_GB2312"/>
          <w:sz w:val="32"/>
          <w:szCs w:val="32"/>
          <w:highlight w:val="none"/>
          <w:lang w:val="en-US" w:eastAsia="zh-CN"/>
        </w:rPr>
        <w:t>于预算数。</w:t>
      </w:r>
    </w:p>
    <w:p>
      <w:pPr>
        <w:pageBreakBefore w:val="0"/>
        <w:kinsoku/>
        <w:wordWrap/>
        <w:overflowPunct/>
        <w:topLinePunct w:val="0"/>
        <w:bidi w:val="0"/>
        <w:snapToGrid/>
        <w:spacing w:line="58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w:t>
      </w:r>
      <w:r>
        <w:rPr>
          <w:rFonts w:hint="eastAsia" w:ascii="仿宋_GB2312" w:hAnsi="仿宋_GB2312" w:cs="仿宋_GB2312"/>
          <w:b/>
          <w:bCs/>
          <w:sz w:val="32"/>
          <w:szCs w:val="32"/>
          <w:highlight w:val="none"/>
          <w:lang w:val="en-US" w:eastAsia="zh-CN"/>
        </w:rPr>
        <w:t>26</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sz w:val="32"/>
          <w:szCs w:val="32"/>
          <w:highlight w:val="none"/>
          <w:lang w:val="en-US" w:eastAsia="zh-CN"/>
        </w:rPr>
        <w:t>预备费（类）年初预算为5万元，支出决算为0万元，完成年初预算的0%。决算数小于预算数的主要原因是预备费预算调整到公益性岗位项目。</w:t>
      </w:r>
    </w:p>
    <w:p>
      <w:pPr>
        <w:pStyle w:val="3"/>
        <w:pageBreakBefore w:val="0"/>
        <w:kinsoku/>
        <w:wordWrap/>
        <w:overflowPunct/>
        <w:topLinePunct w:val="0"/>
        <w:bidi w:val="0"/>
        <w:snapToGrid/>
        <w:spacing w:before="0" w:beforeLines="0" w:after="0" w:afterLines="0" w:line="580" w:lineRule="exact"/>
        <w:textAlignment w:val="auto"/>
        <w:outlineLvl w:val="1"/>
        <w:rPr>
          <w:rFonts w:hint="eastAsia" w:ascii="黑体" w:hAnsi="黑体" w:eastAsia="黑体" w:cs="黑体"/>
          <w:sz w:val="32"/>
          <w:szCs w:val="32"/>
          <w:highlight w:val="none"/>
        </w:rPr>
      </w:pPr>
      <w:bookmarkStart w:id="75" w:name="_Toc5227_WPSOffice_Level2"/>
      <w:bookmarkStart w:id="76" w:name="_Toc3855"/>
      <w:bookmarkStart w:id="77" w:name="_Toc19344"/>
      <w:bookmarkStart w:id="78" w:name="_Toc1717_WPSOffice_Level2"/>
      <w:bookmarkStart w:id="79" w:name="_Toc6991_WPSOffice_Level2"/>
      <w:r>
        <w:rPr>
          <w:rFonts w:hint="eastAsia" w:ascii="黑体" w:hAnsi="黑体" w:eastAsia="黑体" w:cs="黑体"/>
          <w:sz w:val="32"/>
          <w:szCs w:val="32"/>
        </w:rPr>
        <w:t>六、</w:t>
      </w:r>
      <w:r>
        <w:rPr>
          <w:rFonts w:hint="eastAsia" w:ascii="黑体" w:hAnsi="黑体" w:eastAsia="黑体" w:cs="黑体"/>
          <w:sz w:val="32"/>
          <w:szCs w:val="32"/>
          <w:lang w:eastAsia="zh-CN"/>
        </w:rPr>
        <w:t>2022</w:t>
      </w:r>
      <w:r>
        <w:rPr>
          <w:rFonts w:hint="eastAsia" w:ascii="黑体" w:hAnsi="黑体" w:eastAsia="黑体" w:cs="黑体"/>
          <w:sz w:val="32"/>
          <w:szCs w:val="32"/>
        </w:rPr>
        <w:t>年度</w:t>
      </w:r>
      <w:r>
        <w:rPr>
          <w:rFonts w:hint="eastAsia" w:ascii="黑体" w:hAnsi="黑体" w:eastAsia="黑体" w:cs="黑体"/>
          <w:sz w:val="32"/>
          <w:szCs w:val="32"/>
          <w:highlight w:val="none"/>
        </w:rPr>
        <w:t>一般公共预算财政拨款基本支出决算情况说明</w:t>
      </w:r>
      <w:bookmarkEnd w:id="75"/>
      <w:bookmarkEnd w:id="76"/>
      <w:bookmarkEnd w:id="77"/>
      <w:bookmarkEnd w:id="78"/>
      <w:bookmarkEnd w:id="79"/>
    </w:p>
    <w:p>
      <w:pPr>
        <w:pageBreakBefore w:val="0"/>
        <w:kinsoku/>
        <w:wordWrap/>
        <w:overflowPunct/>
        <w:topLinePunct w:val="0"/>
        <w:bidi w:val="0"/>
        <w:snapToGrid/>
        <w:spacing w:line="580" w:lineRule="exact"/>
        <w:ind w:firstLine="640" w:firstLineChars="200"/>
        <w:textAlignment w:val="auto"/>
        <w:rPr>
          <w:rFonts w:hint="eastAsia" w:ascii="仿宋_GB2312" w:eastAsia="仿宋_GB2312"/>
          <w:sz w:val="32"/>
          <w:szCs w:val="32"/>
        </w:rPr>
      </w:pPr>
      <w:r>
        <w:rPr>
          <w:rFonts w:hint="eastAsia" w:ascii="仿宋_GB2312"/>
          <w:sz w:val="32"/>
          <w:szCs w:val="32"/>
          <w:highlight w:val="none"/>
          <w:lang w:eastAsia="zh-CN"/>
        </w:rPr>
        <w:t>2022</w:t>
      </w:r>
      <w:r>
        <w:rPr>
          <w:rFonts w:hint="eastAsia" w:ascii="仿宋_GB2312" w:eastAsia="仿宋_GB2312"/>
          <w:sz w:val="32"/>
          <w:szCs w:val="32"/>
          <w:highlight w:val="none"/>
        </w:rPr>
        <w:t>年度一般公共预算财政拨款基本支出</w:t>
      </w:r>
      <w:r>
        <w:rPr>
          <w:rFonts w:hint="eastAsia" w:ascii="仿宋_GB2312"/>
          <w:sz w:val="32"/>
          <w:szCs w:val="32"/>
          <w:highlight w:val="none"/>
          <w:lang w:val="en-US" w:eastAsia="zh-CN"/>
        </w:rPr>
        <w:t>2587.67</w:t>
      </w:r>
      <w:r>
        <w:rPr>
          <w:rFonts w:hint="eastAsia" w:ascii="仿宋_GB2312" w:eastAsia="仿宋_GB2312"/>
          <w:sz w:val="32"/>
          <w:szCs w:val="32"/>
          <w:highlight w:val="none"/>
        </w:rPr>
        <w:t>万元</w:t>
      </w:r>
      <w:r>
        <w:rPr>
          <w:rFonts w:hint="eastAsia" w:ascii="仿宋_GB2312" w:eastAsia="仿宋_GB2312"/>
          <w:sz w:val="32"/>
          <w:szCs w:val="32"/>
        </w:rPr>
        <w:t>，用于保障机构正常运转完成日常工作任务的支出。其中：</w:t>
      </w:r>
    </w:p>
    <w:p>
      <w:pPr>
        <w:pageBreakBefore w:val="0"/>
        <w:kinsoku/>
        <w:wordWrap/>
        <w:overflowPunct/>
        <w:topLinePunct w:val="0"/>
        <w:autoSpaceDE w:val="0"/>
        <w:autoSpaceDN w:val="0"/>
        <w:bidi w:val="0"/>
        <w:adjustRightInd w:val="0"/>
        <w:snapToGrid/>
        <w:spacing w:line="580" w:lineRule="exact"/>
        <w:ind w:left="0" w:leftChars="0" w:rightChars="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eastAsia="仿宋_GB2312"/>
          <w:b/>
          <w:bCs/>
          <w:sz w:val="32"/>
          <w:szCs w:val="32"/>
        </w:rPr>
        <w:t>人</w:t>
      </w:r>
      <w:r>
        <w:rPr>
          <w:rFonts w:hint="eastAsia" w:ascii="仿宋_GB2312" w:eastAsia="仿宋_GB2312"/>
          <w:b/>
          <w:bCs/>
          <w:sz w:val="32"/>
          <w:szCs w:val="32"/>
          <w:highlight w:val="none"/>
        </w:rPr>
        <w:t>员经费</w:t>
      </w:r>
      <w:r>
        <w:rPr>
          <w:rFonts w:hint="eastAsia" w:ascii="仿宋_GB2312"/>
          <w:sz w:val="32"/>
          <w:szCs w:val="32"/>
          <w:highlight w:val="none"/>
          <w:lang w:val="en-US" w:eastAsia="zh-CN"/>
        </w:rPr>
        <w:t>2498.16</w:t>
      </w:r>
      <w:r>
        <w:rPr>
          <w:rFonts w:hint="eastAsia" w:ascii="仿宋_GB2312" w:eastAsia="仿宋_GB2312"/>
          <w:sz w:val="32"/>
          <w:szCs w:val="32"/>
          <w:highlight w:val="none"/>
        </w:rPr>
        <w:t>万元，主要包括基本工资、津贴补贴、离退休费、</w:t>
      </w:r>
      <w:r>
        <w:rPr>
          <w:rFonts w:hint="eastAsia" w:ascii="仿宋_GB2312" w:hAnsi="仿宋_GB2312" w:eastAsia="仿宋_GB2312" w:cs="仿宋_GB2312"/>
          <w:sz w:val="32"/>
          <w:szCs w:val="32"/>
          <w:highlight w:val="none"/>
          <w:lang w:eastAsia="zh-CN"/>
        </w:rPr>
        <w:t>奖金、绩效工资、机关事业单位养老保险、职工基本医疗保险缴费、公务员医疗补助缴费、其他社会保障缴费、住房公积金、其他工资福利支出、抚恤金、生活补助、奖励金</w:t>
      </w:r>
      <w:r>
        <w:rPr>
          <w:rFonts w:hint="eastAsia" w:ascii="仿宋_GB2312" w:hAnsi="仿宋_GB2312" w:eastAsia="仿宋_GB2312" w:cs="仿宋_GB2312"/>
          <w:sz w:val="32"/>
          <w:szCs w:val="32"/>
          <w:highlight w:val="none"/>
        </w:rPr>
        <w:t>；</w:t>
      </w:r>
    </w:p>
    <w:p>
      <w:pPr>
        <w:pageBreakBefore w:val="0"/>
        <w:kinsoku/>
        <w:wordWrap/>
        <w:overflowPunct/>
        <w:topLinePunct w:val="0"/>
        <w:autoSpaceDE w:val="0"/>
        <w:autoSpaceDN w:val="0"/>
        <w:bidi w:val="0"/>
        <w:adjustRightInd w:val="0"/>
        <w:snapToGrid/>
        <w:spacing w:line="580" w:lineRule="exact"/>
        <w:ind w:left="0" w:leftChars="0" w:rightChars="0" w:firstLine="643" w:firstLineChars="200"/>
        <w:jc w:val="both"/>
        <w:textAlignment w:val="auto"/>
        <w:rPr>
          <w:rFonts w:hint="eastAsia" w:ascii="仿宋_GB2312" w:eastAsia="仿宋_GB2312"/>
          <w:sz w:val="32"/>
          <w:szCs w:val="32"/>
          <w:highlight w:val="none"/>
          <w:lang w:eastAsia="zh-CN"/>
        </w:rPr>
      </w:pPr>
      <w:r>
        <w:rPr>
          <w:rFonts w:hint="eastAsia" w:ascii="仿宋_GB2312" w:eastAsia="仿宋_GB2312"/>
          <w:b/>
          <w:bCs/>
          <w:sz w:val="32"/>
          <w:szCs w:val="32"/>
          <w:highlight w:val="none"/>
        </w:rPr>
        <w:t>公用经费</w:t>
      </w:r>
      <w:r>
        <w:rPr>
          <w:rFonts w:hint="eastAsia" w:ascii="仿宋_GB2312"/>
          <w:sz w:val="32"/>
          <w:szCs w:val="32"/>
          <w:highlight w:val="none"/>
          <w:lang w:val="en-US" w:eastAsia="zh-CN"/>
        </w:rPr>
        <w:t>89.51</w:t>
      </w:r>
      <w:r>
        <w:rPr>
          <w:rFonts w:hint="eastAsia" w:ascii="仿宋_GB2312" w:eastAsia="仿宋_GB2312"/>
          <w:sz w:val="32"/>
          <w:szCs w:val="32"/>
          <w:highlight w:val="none"/>
        </w:rPr>
        <w:t>万元，主要包括</w:t>
      </w:r>
      <w:r>
        <w:rPr>
          <w:rFonts w:hint="eastAsia" w:ascii="仿宋_GB2312" w:hAnsi="仿宋_GB2312" w:eastAsia="仿宋_GB2312" w:cs="仿宋_GB2312"/>
          <w:sz w:val="32"/>
          <w:szCs w:val="32"/>
          <w:highlight w:val="none"/>
        </w:rPr>
        <w:t>办公费、水电费、差旅费、</w:t>
      </w:r>
      <w:r>
        <w:rPr>
          <w:rFonts w:hint="eastAsia" w:ascii="仿宋_GB2312" w:hAnsi="仿宋_GB2312" w:eastAsia="仿宋_GB2312" w:cs="仿宋_GB2312"/>
          <w:sz w:val="32"/>
          <w:szCs w:val="32"/>
          <w:highlight w:val="none"/>
          <w:lang w:eastAsia="zh-CN"/>
        </w:rPr>
        <w:t>印刷费、邮电费、取暖费、差旅费、维修（护）费、会议费、培训费、公务接待费、被装购置费、工会经费、福利费、公务用车运行维护费、其他交通费用、其他商品和服务支出</w:t>
      </w:r>
      <w:r>
        <w:rPr>
          <w:rFonts w:hint="eastAsia" w:ascii="仿宋_GB2312" w:hAnsi="仿宋_GB2312" w:eastAsia="仿宋_GB2312" w:cs="仿宋_GB2312"/>
          <w:sz w:val="32"/>
          <w:szCs w:val="32"/>
          <w:highlight w:val="none"/>
        </w:rPr>
        <w:t>。</w:t>
      </w:r>
    </w:p>
    <w:p>
      <w:pPr>
        <w:pStyle w:val="3"/>
        <w:pageBreakBefore w:val="0"/>
        <w:kinsoku/>
        <w:wordWrap/>
        <w:overflowPunct/>
        <w:topLinePunct w:val="0"/>
        <w:bidi w:val="0"/>
        <w:snapToGrid/>
        <w:spacing w:before="0" w:beforeLines="0" w:after="0" w:afterLines="0" w:line="580" w:lineRule="exact"/>
        <w:textAlignment w:val="auto"/>
        <w:outlineLvl w:val="1"/>
        <w:rPr>
          <w:rFonts w:hint="eastAsia"/>
          <w:sz w:val="32"/>
          <w:szCs w:val="32"/>
        </w:rPr>
      </w:pPr>
      <w:bookmarkStart w:id="80" w:name="_Toc19161_WPSOffice_Level2"/>
      <w:bookmarkStart w:id="81" w:name="_Toc3926"/>
      <w:bookmarkStart w:id="82" w:name="_Toc22364_WPSOffice_Level2"/>
      <w:bookmarkStart w:id="83" w:name="_Toc8799"/>
      <w:bookmarkStart w:id="84" w:name="_Toc14418_WPSOffice_Level2"/>
      <w:r>
        <w:rPr>
          <w:rFonts w:hint="eastAsia"/>
          <w:sz w:val="32"/>
          <w:szCs w:val="32"/>
        </w:rPr>
        <w:t>七、</w:t>
      </w:r>
      <w:r>
        <w:rPr>
          <w:rFonts w:hint="eastAsia"/>
          <w:sz w:val="32"/>
          <w:szCs w:val="32"/>
          <w:lang w:eastAsia="zh-CN"/>
        </w:rPr>
        <w:t>2022</w:t>
      </w:r>
      <w:r>
        <w:rPr>
          <w:rFonts w:hint="eastAsia"/>
          <w:sz w:val="32"/>
          <w:szCs w:val="32"/>
        </w:rPr>
        <w:t>年度财政拨款“三公”经费支出决算情况说明</w:t>
      </w:r>
      <w:bookmarkEnd w:id="80"/>
      <w:bookmarkEnd w:id="81"/>
      <w:bookmarkEnd w:id="82"/>
      <w:bookmarkEnd w:id="83"/>
      <w:bookmarkEnd w:id="84"/>
    </w:p>
    <w:p>
      <w:pPr>
        <w:pageBreakBefore w:val="0"/>
        <w:kinsoku/>
        <w:wordWrap/>
        <w:overflowPunct/>
        <w:topLinePunct w:val="0"/>
        <w:autoSpaceDE w:val="0"/>
        <w:autoSpaceDN w:val="0"/>
        <w:bidi w:val="0"/>
        <w:adjustRightInd w:val="0"/>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“三公”经费财政拨款支出决算总体情况说明</w:t>
      </w:r>
    </w:p>
    <w:p>
      <w:pPr>
        <w:pageBreakBefore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eastAsia="仿宋_GB2312"/>
          <w:sz w:val="32"/>
          <w:szCs w:val="32"/>
          <w:highlight w:val="none"/>
        </w:rPr>
      </w:pPr>
      <w:r>
        <w:rPr>
          <w:rFonts w:hint="eastAsia" w:ascii="仿宋_GB2312"/>
          <w:sz w:val="32"/>
          <w:szCs w:val="32"/>
          <w:highlight w:val="none"/>
          <w:lang w:eastAsia="zh-CN"/>
        </w:rPr>
        <w:t>2022</w:t>
      </w:r>
      <w:r>
        <w:rPr>
          <w:rFonts w:hint="eastAsia" w:ascii="仿宋_GB2312" w:eastAsia="仿宋_GB2312"/>
          <w:sz w:val="32"/>
          <w:szCs w:val="32"/>
          <w:highlight w:val="none"/>
        </w:rPr>
        <w:t>年度“三公”经费财政拨款支出预算</w:t>
      </w:r>
      <w:r>
        <w:rPr>
          <w:rFonts w:hint="eastAsia" w:ascii="仿宋_GB2312"/>
          <w:sz w:val="32"/>
          <w:szCs w:val="32"/>
          <w:highlight w:val="none"/>
          <w:lang w:eastAsia="zh-CN"/>
        </w:rPr>
        <w:t>数</w:t>
      </w:r>
      <w:r>
        <w:rPr>
          <w:rFonts w:hint="eastAsia" w:ascii="仿宋_GB2312" w:eastAsia="仿宋_GB2312"/>
          <w:sz w:val="32"/>
          <w:szCs w:val="32"/>
          <w:highlight w:val="none"/>
        </w:rPr>
        <w:t>为</w:t>
      </w:r>
      <w:r>
        <w:rPr>
          <w:rFonts w:hint="eastAsia" w:ascii="仿宋_GB2312"/>
          <w:sz w:val="32"/>
          <w:szCs w:val="32"/>
          <w:highlight w:val="none"/>
          <w:lang w:val="en-US" w:eastAsia="zh-CN"/>
        </w:rPr>
        <w:t>20.97</w:t>
      </w:r>
      <w:r>
        <w:rPr>
          <w:rFonts w:hint="eastAsia" w:ascii="仿宋_GB2312" w:eastAsia="仿宋_GB2312"/>
          <w:sz w:val="32"/>
          <w:szCs w:val="32"/>
          <w:highlight w:val="none"/>
        </w:rPr>
        <w:t>万元，支出决算为</w:t>
      </w:r>
      <w:r>
        <w:rPr>
          <w:rFonts w:hint="eastAsia" w:ascii="仿宋_GB2312"/>
          <w:sz w:val="32"/>
          <w:szCs w:val="32"/>
          <w:highlight w:val="none"/>
          <w:lang w:val="en-US" w:eastAsia="zh-CN"/>
        </w:rPr>
        <w:t>20.69</w:t>
      </w:r>
      <w:r>
        <w:rPr>
          <w:rFonts w:hint="eastAsia" w:ascii="仿宋_GB2312" w:eastAsia="仿宋_GB2312"/>
          <w:sz w:val="32"/>
          <w:szCs w:val="32"/>
          <w:highlight w:val="none"/>
        </w:rPr>
        <w:t>万元，完成预算的</w:t>
      </w:r>
      <w:r>
        <w:rPr>
          <w:rFonts w:hint="eastAsia" w:ascii="仿宋_GB2312"/>
          <w:sz w:val="32"/>
          <w:szCs w:val="32"/>
          <w:highlight w:val="none"/>
          <w:lang w:val="en-US" w:eastAsia="zh-CN"/>
        </w:rPr>
        <w:t>98.66</w:t>
      </w:r>
      <w:r>
        <w:rPr>
          <w:rFonts w:hint="eastAsia" w:ascii="仿宋_GB2312" w:eastAsia="仿宋_GB2312"/>
          <w:sz w:val="32"/>
          <w:szCs w:val="32"/>
          <w:highlight w:val="none"/>
        </w:rPr>
        <w:t>%，决算数小于预算数的主要原因是</w:t>
      </w:r>
      <w:r>
        <w:rPr>
          <w:rFonts w:hint="eastAsia" w:ascii="仿宋_GB2312" w:hAnsi="仿宋_GB2312" w:eastAsia="仿宋_GB2312" w:cs="仿宋_GB2312"/>
          <w:sz w:val="32"/>
          <w:szCs w:val="32"/>
          <w:highlight w:val="none"/>
          <w:lang w:eastAsia="zh-CN"/>
        </w:rPr>
        <w:t>公务接待减少</w:t>
      </w:r>
      <w:r>
        <w:rPr>
          <w:rFonts w:hint="eastAsia" w:ascii="仿宋_GB2312" w:eastAsia="仿宋_GB2312"/>
          <w:sz w:val="32"/>
          <w:szCs w:val="32"/>
          <w:highlight w:val="none"/>
        </w:rPr>
        <w:t>。与</w:t>
      </w:r>
      <w:r>
        <w:rPr>
          <w:rFonts w:hint="eastAsia" w:ascii="仿宋_GB2312"/>
          <w:sz w:val="32"/>
          <w:szCs w:val="32"/>
          <w:highlight w:val="none"/>
          <w:lang w:eastAsia="zh-CN"/>
        </w:rPr>
        <w:t>2021</w:t>
      </w:r>
      <w:r>
        <w:rPr>
          <w:rFonts w:hint="eastAsia" w:ascii="仿宋_GB2312" w:eastAsia="仿宋_GB2312"/>
          <w:sz w:val="32"/>
          <w:szCs w:val="32"/>
          <w:highlight w:val="none"/>
        </w:rPr>
        <w:t>年相比，减少</w:t>
      </w:r>
      <w:r>
        <w:rPr>
          <w:rFonts w:hint="eastAsia" w:ascii="仿宋_GB2312"/>
          <w:sz w:val="32"/>
          <w:szCs w:val="32"/>
          <w:highlight w:val="none"/>
          <w:lang w:val="en-US" w:eastAsia="zh-CN"/>
        </w:rPr>
        <w:t>0.27</w:t>
      </w:r>
      <w:r>
        <w:rPr>
          <w:rFonts w:hint="eastAsia" w:ascii="仿宋_GB2312" w:eastAsia="仿宋_GB2312"/>
          <w:sz w:val="32"/>
          <w:szCs w:val="32"/>
          <w:highlight w:val="none"/>
        </w:rPr>
        <w:t>万元，降低</w:t>
      </w:r>
      <w:r>
        <w:rPr>
          <w:rFonts w:hint="eastAsia" w:ascii="仿宋_GB2312"/>
          <w:sz w:val="32"/>
          <w:szCs w:val="32"/>
          <w:highlight w:val="none"/>
          <w:lang w:val="en-US" w:eastAsia="zh-CN"/>
        </w:rPr>
        <w:t>1.30</w:t>
      </w:r>
      <w:r>
        <w:rPr>
          <w:rFonts w:hint="eastAsia" w:ascii="仿宋_GB2312" w:eastAsia="仿宋_GB2312"/>
          <w:sz w:val="32"/>
          <w:szCs w:val="32"/>
          <w:highlight w:val="none"/>
        </w:rPr>
        <w:t>%，主要原因是</w:t>
      </w:r>
      <w:r>
        <w:rPr>
          <w:rFonts w:hint="eastAsia" w:ascii="仿宋_GB2312" w:hAnsi="仿宋_GB2312" w:eastAsia="仿宋_GB2312" w:cs="仿宋_GB2312"/>
          <w:sz w:val="32"/>
          <w:szCs w:val="32"/>
          <w:highlight w:val="none"/>
          <w:lang w:eastAsia="zh-CN"/>
        </w:rPr>
        <w:t>公务接待减少、严控三公经费、减少支出</w:t>
      </w:r>
      <w:r>
        <w:rPr>
          <w:rFonts w:hint="eastAsia" w:ascii="仿宋_GB2312" w:eastAsia="仿宋_GB2312"/>
          <w:sz w:val="32"/>
          <w:szCs w:val="32"/>
          <w:highlight w:val="none"/>
        </w:rPr>
        <w:t>。</w:t>
      </w:r>
      <w:r>
        <w:rPr>
          <w:rFonts w:hint="eastAsia" w:ascii="仿宋_GB2312" w:eastAsia="仿宋_GB2312"/>
          <w:sz w:val="32"/>
          <w:szCs w:val="32"/>
          <w:highlight w:val="none"/>
        </w:rPr>
        <w:tab/>
      </w:r>
    </w:p>
    <w:p>
      <w:pPr>
        <w:pageBreakBefore w:val="0"/>
        <w:kinsoku/>
        <w:wordWrap/>
        <w:overflowPunct/>
        <w:topLinePunct w:val="0"/>
        <w:autoSpaceDE w:val="0"/>
        <w:autoSpaceDN w:val="0"/>
        <w:bidi w:val="0"/>
        <w:adjustRightInd w:val="0"/>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“三公”经费财政拨款支出决算具体情况说明</w:t>
      </w:r>
    </w:p>
    <w:p>
      <w:pPr>
        <w:pageBreakBefore w:val="0"/>
        <w:kinsoku/>
        <w:wordWrap/>
        <w:overflowPunct/>
        <w:topLinePunct w:val="0"/>
        <w:autoSpaceDE w:val="0"/>
        <w:autoSpaceDN w:val="0"/>
        <w:bidi w:val="0"/>
        <w:adjustRightInd w:val="0"/>
        <w:snapToGrid/>
        <w:spacing w:line="580" w:lineRule="exact"/>
        <w:ind w:firstLine="600"/>
        <w:textAlignment w:val="auto"/>
        <w:rPr>
          <w:rFonts w:hint="eastAsia" w:ascii="仿宋_GB2312" w:eastAsia="仿宋_GB2312"/>
          <w:sz w:val="32"/>
          <w:szCs w:val="32"/>
          <w:highlight w:val="none"/>
          <w:lang w:eastAsia="zh-CN"/>
        </w:rPr>
      </w:pPr>
      <w:r>
        <w:rPr>
          <w:rFonts w:hint="eastAsia" w:ascii="仿宋_GB2312"/>
          <w:sz w:val="32"/>
          <w:szCs w:val="32"/>
          <w:highlight w:val="none"/>
          <w:lang w:eastAsia="zh-CN"/>
        </w:rPr>
        <w:t>2022</w:t>
      </w:r>
      <w:r>
        <w:rPr>
          <w:rFonts w:hint="eastAsia" w:ascii="仿宋_GB2312" w:eastAsia="仿宋_GB2312"/>
          <w:sz w:val="32"/>
          <w:szCs w:val="32"/>
          <w:highlight w:val="none"/>
        </w:rPr>
        <w:t>年度“三公”经费财政拨款支出决算</w:t>
      </w:r>
      <w:r>
        <w:rPr>
          <w:rFonts w:hint="eastAsia" w:ascii="仿宋_GB2312"/>
          <w:sz w:val="32"/>
          <w:szCs w:val="32"/>
          <w:highlight w:val="none"/>
          <w:lang w:val="en-US" w:eastAsia="zh-CN"/>
        </w:rPr>
        <w:t>20.69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其中因公出国（境）费支出决算</w:t>
      </w:r>
      <w:r>
        <w:rPr>
          <w:rFonts w:hint="eastAsia" w:ascii="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sz w:val="32"/>
          <w:szCs w:val="32"/>
          <w:highlight w:val="none"/>
          <w:lang w:val="en-US" w:eastAsia="zh-CN"/>
        </w:rPr>
        <w:t>0</w:t>
      </w:r>
      <w:r>
        <w:rPr>
          <w:rFonts w:hint="eastAsia" w:ascii="仿宋_GB2312" w:eastAsia="仿宋_GB2312"/>
          <w:sz w:val="32"/>
          <w:szCs w:val="32"/>
          <w:highlight w:val="none"/>
        </w:rPr>
        <w:t>%；公务用车购置及运行维护费支出决算</w:t>
      </w:r>
      <w:r>
        <w:rPr>
          <w:rFonts w:hint="eastAsia" w:ascii="仿宋_GB2312"/>
          <w:sz w:val="32"/>
          <w:szCs w:val="32"/>
          <w:highlight w:val="none"/>
          <w:lang w:val="en-US" w:eastAsia="zh-CN"/>
        </w:rPr>
        <w:t>12.90</w:t>
      </w:r>
      <w:r>
        <w:rPr>
          <w:rFonts w:hint="eastAsia" w:ascii="仿宋_GB2312" w:eastAsia="仿宋_GB2312"/>
          <w:sz w:val="32"/>
          <w:szCs w:val="32"/>
          <w:highlight w:val="none"/>
        </w:rPr>
        <w:t>万元，占</w:t>
      </w:r>
      <w:r>
        <w:rPr>
          <w:rFonts w:hint="eastAsia" w:ascii="仿宋_GB2312"/>
          <w:sz w:val="32"/>
          <w:szCs w:val="32"/>
          <w:highlight w:val="none"/>
          <w:lang w:val="en-US" w:eastAsia="zh-CN"/>
        </w:rPr>
        <w:t>62.35</w:t>
      </w:r>
      <w:r>
        <w:rPr>
          <w:rFonts w:hint="eastAsia" w:ascii="仿宋_GB2312" w:eastAsia="仿宋_GB2312"/>
          <w:sz w:val="32"/>
          <w:szCs w:val="32"/>
          <w:highlight w:val="none"/>
        </w:rPr>
        <w:t>%；公务接待费支出决算</w:t>
      </w:r>
      <w:r>
        <w:rPr>
          <w:rFonts w:hint="eastAsia" w:ascii="仿宋_GB2312"/>
          <w:sz w:val="32"/>
          <w:szCs w:val="32"/>
          <w:highlight w:val="none"/>
          <w:lang w:val="en-US" w:eastAsia="zh-CN"/>
        </w:rPr>
        <w:t>7.79</w:t>
      </w:r>
      <w:r>
        <w:rPr>
          <w:rFonts w:hint="eastAsia" w:ascii="仿宋_GB2312" w:eastAsia="仿宋_GB2312"/>
          <w:sz w:val="32"/>
          <w:szCs w:val="32"/>
          <w:highlight w:val="none"/>
        </w:rPr>
        <w:t>万元，占</w:t>
      </w:r>
      <w:r>
        <w:rPr>
          <w:rFonts w:hint="eastAsia" w:ascii="仿宋_GB2312"/>
          <w:sz w:val="32"/>
          <w:szCs w:val="32"/>
          <w:highlight w:val="none"/>
          <w:lang w:val="en-US" w:eastAsia="zh-CN"/>
        </w:rPr>
        <w:t>37.65</w:t>
      </w:r>
      <w:r>
        <w:rPr>
          <w:rFonts w:hint="eastAsia" w:ascii="仿宋_GB2312" w:eastAsia="仿宋_GB2312"/>
          <w:sz w:val="32"/>
          <w:szCs w:val="32"/>
          <w:highlight w:val="none"/>
        </w:rPr>
        <w:t>%。具体情况如下：</w:t>
      </w:r>
    </w:p>
    <w:p>
      <w:pPr>
        <w:pageBreakBefore w:val="0"/>
        <w:kinsoku/>
        <w:wordWrap/>
        <w:overflowPunct/>
        <w:topLinePunct w:val="0"/>
        <w:autoSpaceDE w:val="0"/>
        <w:autoSpaceDN w:val="0"/>
        <w:bidi w:val="0"/>
        <w:adjustRightInd w:val="0"/>
        <w:snapToGrid/>
        <w:spacing w:line="580" w:lineRule="exact"/>
        <w:ind w:left="0" w:leftChars="0" w:rightChars="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b/>
          <w:bCs/>
          <w:sz w:val="32"/>
          <w:szCs w:val="32"/>
          <w:lang w:val="en-US" w:eastAsia="zh-CN"/>
        </w:rPr>
        <w:t>1.</w:t>
      </w:r>
      <w:r>
        <w:rPr>
          <w:rFonts w:hint="eastAsia" w:ascii="仿宋_GB2312" w:eastAsia="仿宋_GB2312"/>
          <w:b/>
          <w:bCs/>
          <w:sz w:val="32"/>
          <w:szCs w:val="32"/>
          <w:highlight w:val="none"/>
        </w:rPr>
        <w:t>因公出国（境）费</w:t>
      </w:r>
      <w:r>
        <w:rPr>
          <w:rFonts w:hint="eastAsia" w:ascii="仿宋_GB2312" w:eastAsia="仿宋_GB2312"/>
          <w:sz w:val="32"/>
          <w:szCs w:val="32"/>
          <w:highlight w:val="none"/>
        </w:rPr>
        <w:t>预算</w:t>
      </w:r>
      <w:r>
        <w:rPr>
          <w:rFonts w:hint="eastAsia" w:ascii="仿宋_GB2312"/>
          <w:sz w:val="32"/>
          <w:szCs w:val="32"/>
          <w:highlight w:val="none"/>
          <w:lang w:eastAsia="zh-CN"/>
        </w:rPr>
        <w:t>数</w:t>
      </w:r>
      <w:r>
        <w:rPr>
          <w:rFonts w:hint="eastAsia" w:ascii="仿宋_GB2312" w:eastAsia="仿宋_GB2312"/>
          <w:sz w:val="32"/>
          <w:szCs w:val="32"/>
          <w:highlight w:val="none"/>
        </w:rPr>
        <w:t>为</w:t>
      </w:r>
      <w:r>
        <w:rPr>
          <w:rFonts w:hint="eastAsia" w:ascii="仿宋_GB2312"/>
          <w:sz w:val="32"/>
          <w:szCs w:val="32"/>
          <w:highlight w:val="none"/>
          <w:lang w:val="en-US" w:eastAsia="zh-CN"/>
        </w:rPr>
        <w:t>0</w:t>
      </w:r>
      <w:r>
        <w:rPr>
          <w:rFonts w:hint="eastAsia" w:ascii="仿宋_GB2312" w:eastAsia="仿宋_GB2312"/>
          <w:sz w:val="32"/>
          <w:szCs w:val="32"/>
          <w:highlight w:val="none"/>
        </w:rPr>
        <w:t>万元，支出决算为</w:t>
      </w:r>
      <w:r>
        <w:rPr>
          <w:rFonts w:hint="eastAsia" w:ascii="仿宋_GB2312"/>
          <w:sz w:val="32"/>
          <w:szCs w:val="32"/>
          <w:highlight w:val="none"/>
          <w:lang w:val="en-US" w:eastAsia="zh-CN"/>
        </w:rPr>
        <w:t>0</w:t>
      </w:r>
      <w:r>
        <w:rPr>
          <w:rFonts w:hint="eastAsia" w:ascii="仿宋_GB2312" w:eastAsia="仿宋_GB2312"/>
          <w:sz w:val="32"/>
          <w:szCs w:val="32"/>
          <w:highlight w:val="none"/>
        </w:rPr>
        <w:t>万元，完成预算</w:t>
      </w:r>
      <w:r>
        <w:rPr>
          <w:rFonts w:hint="eastAsia" w:ascii="仿宋_GB2312"/>
          <w:sz w:val="32"/>
          <w:szCs w:val="32"/>
          <w:highlight w:val="none"/>
          <w:lang w:eastAsia="zh-CN"/>
        </w:rPr>
        <w:t>数</w:t>
      </w:r>
      <w:r>
        <w:rPr>
          <w:rFonts w:hint="eastAsia" w:ascii="仿宋_GB2312" w:eastAsia="仿宋_GB2312"/>
          <w:sz w:val="32"/>
          <w:szCs w:val="32"/>
          <w:highlight w:val="none"/>
        </w:rPr>
        <w:t>的</w:t>
      </w:r>
      <w:r>
        <w:rPr>
          <w:rFonts w:hint="eastAsia" w:ascii="仿宋_GB2312"/>
          <w:sz w:val="32"/>
          <w:szCs w:val="32"/>
          <w:highlight w:val="none"/>
          <w:lang w:val="en-US" w:eastAsia="zh-CN"/>
        </w:rPr>
        <w:t>0</w:t>
      </w:r>
      <w:r>
        <w:rPr>
          <w:rFonts w:hint="eastAsia" w:ascii="仿宋_GB2312" w:eastAsia="仿宋_GB2312"/>
          <w:sz w:val="32"/>
          <w:szCs w:val="32"/>
          <w:highlight w:val="none"/>
        </w:rPr>
        <w:t>%，决算数</w:t>
      </w:r>
      <w:r>
        <w:rPr>
          <w:rFonts w:hint="eastAsia" w:ascii="仿宋_GB2312"/>
          <w:sz w:val="32"/>
          <w:szCs w:val="32"/>
          <w:highlight w:val="none"/>
          <w:lang w:eastAsia="zh-CN"/>
        </w:rPr>
        <w:t>等于</w:t>
      </w:r>
      <w:r>
        <w:rPr>
          <w:rFonts w:hint="eastAsia" w:ascii="仿宋_GB2312" w:eastAsia="仿宋_GB2312"/>
          <w:sz w:val="32"/>
          <w:szCs w:val="32"/>
          <w:highlight w:val="none"/>
        </w:rPr>
        <w:t>预算数的主要原因是</w:t>
      </w:r>
      <w:r>
        <w:rPr>
          <w:rFonts w:hint="eastAsia" w:ascii="仿宋_GB2312"/>
          <w:sz w:val="32"/>
          <w:szCs w:val="32"/>
          <w:highlight w:val="none"/>
          <w:lang w:eastAsia="zh-CN"/>
        </w:rPr>
        <w:t>无相关预算和支出</w:t>
      </w:r>
      <w:r>
        <w:rPr>
          <w:rFonts w:hint="eastAsia" w:ascii="仿宋_GB2312" w:eastAsia="仿宋_GB2312"/>
          <w:sz w:val="32"/>
          <w:szCs w:val="32"/>
          <w:highlight w:val="none"/>
        </w:rPr>
        <w:t>。因公出国（境）费与</w:t>
      </w:r>
      <w:r>
        <w:rPr>
          <w:rFonts w:hint="eastAsia" w:ascii="仿宋_GB2312"/>
          <w:sz w:val="32"/>
          <w:szCs w:val="32"/>
          <w:highlight w:val="none"/>
          <w:lang w:eastAsia="zh-CN"/>
        </w:rPr>
        <w:t>2021</w:t>
      </w:r>
      <w:r>
        <w:rPr>
          <w:rFonts w:hint="eastAsia" w:ascii="仿宋_GB2312" w:eastAsia="仿宋_GB2312"/>
          <w:sz w:val="32"/>
          <w:szCs w:val="32"/>
          <w:highlight w:val="none"/>
        </w:rPr>
        <w:t>年相比，</w:t>
      </w:r>
      <w:r>
        <w:rPr>
          <w:rFonts w:hint="eastAsia" w:ascii="仿宋_GB2312" w:hAnsi="仿宋_GB2312" w:eastAsia="仿宋_GB2312" w:cs="仿宋_GB2312"/>
          <w:sz w:val="32"/>
          <w:szCs w:val="32"/>
          <w:highlight w:val="none"/>
          <w:lang w:eastAsia="zh-CN"/>
        </w:rPr>
        <w:t>数据无变化</w:t>
      </w:r>
      <w:r>
        <w:rPr>
          <w:rFonts w:hint="eastAsia" w:ascii="仿宋_GB2312" w:hAnsi="仿宋_GB2312" w:eastAsia="仿宋_GB2312" w:cs="仿宋_GB2312"/>
          <w:sz w:val="32"/>
          <w:szCs w:val="32"/>
          <w:highlight w:val="none"/>
        </w:rPr>
        <w:t>。</w:t>
      </w:r>
    </w:p>
    <w:p>
      <w:pPr>
        <w:pageBreakBefore w:val="0"/>
        <w:kinsoku/>
        <w:wordWrap/>
        <w:overflowPunct/>
        <w:topLinePunct w:val="0"/>
        <w:autoSpaceDE w:val="0"/>
        <w:autoSpaceDN w:val="0"/>
        <w:bidi w:val="0"/>
        <w:adjustRightInd w:val="0"/>
        <w:snapToGrid/>
        <w:spacing w:line="580" w:lineRule="exact"/>
        <w:ind w:firstLine="643" w:firstLineChars="200"/>
        <w:textAlignment w:val="auto"/>
        <w:rPr>
          <w:rFonts w:hint="eastAsia" w:ascii="仿宋_GB2312" w:eastAsia="仿宋_GB2312"/>
          <w:sz w:val="32"/>
          <w:szCs w:val="32"/>
          <w:highlight w:val="none"/>
        </w:rPr>
      </w:pPr>
      <w:r>
        <w:rPr>
          <w:rFonts w:hint="eastAsia" w:ascii="仿宋_GB2312"/>
          <w:b/>
          <w:bCs/>
          <w:sz w:val="32"/>
          <w:szCs w:val="32"/>
          <w:highlight w:val="none"/>
          <w:lang w:val="en-US" w:eastAsia="zh-CN"/>
        </w:rPr>
        <w:t>2.</w:t>
      </w:r>
      <w:r>
        <w:rPr>
          <w:rFonts w:hint="eastAsia" w:ascii="仿宋_GB2312" w:eastAsia="仿宋_GB2312"/>
          <w:b/>
          <w:bCs/>
          <w:sz w:val="32"/>
          <w:szCs w:val="32"/>
          <w:highlight w:val="none"/>
        </w:rPr>
        <w:t>公务用车购置及运行维护费</w:t>
      </w:r>
      <w:r>
        <w:rPr>
          <w:rFonts w:hint="eastAsia" w:ascii="仿宋_GB2312" w:eastAsia="仿宋_GB2312"/>
          <w:sz w:val="32"/>
          <w:szCs w:val="32"/>
          <w:highlight w:val="none"/>
        </w:rPr>
        <w:t>预算</w:t>
      </w:r>
      <w:r>
        <w:rPr>
          <w:rFonts w:hint="eastAsia" w:ascii="仿宋_GB2312"/>
          <w:sz w:val="32"/>
          <w:szCs w:val="32"/>
          <w:highlight w:val="none"/>
          <w:lang w:eastAsia="zh-CN"/>
        </w:rPr>
        <w:t>数</w:t>
      </w:r>
      <w:r>
        <w:rPr>
          <w:rFonts w:hint="eastAsia" w:ascii="仿宋_GB2312" w:eastAsia="仿宋_GB2312"/>
          <w:sz w:val="32"/>
          <w:szCs w:val="32"/>
          <w:highlight w:val="none"/>
        </w:rPr>
        <w:t>为</w:t>
      </w:r>
      <w:r>
        <w:rPr>
          <w:rFonts w:hint="eastAsia" w:ascii="仿宋_GB2312"/>
          <w:sz w:val="32"/>
          <w:szCs w:val="32"/>
          <w:highlight w:val="none"/>
          <w:lang w:val="en-US" w:eastAsia="zh-CN"/>
        </w:rPr>
        <w:t>12.90</w:t>
      </w:r>
      <w:r>
        <w:rPr>
          <w:rFonts w:hint="eastAsia" w:ascii="仿宋_GB2312" w:eastAsia="仿宋_GB2312"/>
          <w:sz w:val="32"/>
          <w:szCs w:val="32"/>
          <w:highlight w:val="none"/>
        </w:rPr>
        <w:t>万元，支出决算为</w:t>
      </w:r>
      <w:r>
        <w:rPr>
          <w:rFonts w:hint="eastAsia" w:ascii="仿宋_GB2312"/>
          <w:sz w:val="32"/>
          <w:szCs w:val="32"/>
          <w:highlight w:val="none"/>
          <w:lang w:val="en-US" w:eastAsia="zh-CN"/>
        </w:rPr>
        <w:t>12.90</w:t>
      </w:r>
      <w:r>
        <w:rPr>
          <w:rFonts w:hint="eastAsia" w:ascii="仿宋_GB2312" w:eastAsia="仿宋_GB2312"/>
          <w:sz w:val="32"/>
          <w:szCs w:val="32"/>
          <w:highlight w:val="none"/>
        </w:rPr>
        <w:t>万元，完成预算</w:t>
      </w:r>
      <w:r>
        <w:rPr>
          <w:rFonts w:hint="eastAsia" w:ascii="仿宋_GB2312"/>
          <w:sz w:val="32"/>
          <w:szCs w:val="32"/>
          <w:highlight w:val="none"/>
          <w:lang w:eastAsia="zh-CN"/>
        </w:rPr>
        <w:t>数</w:t>
      </w:r>
      <w:r>
        <w:rPr>
          <w:rFonts w:hint="eastAsia" w:ascii="仿宋_GB2312" w:eastAsia="仿宋_GB2312"/>
          <w:sz w:val="32"/>
          <w:szCs w:val="32"/>
          <w:highlight w:val="none"/>
        </w:rPr>
        <w:t>的</w:t>
      </w:r>
      <w:r>
        <w:rPr>
          <w:rFonts w:hint="eastAsia" w:ascii="仿宋_GB2312"/>
          <w:sz w:val="32"/>
          <w:szCs w:val="32"/>
          <w:highlight w:val="none"/>
          <w:lang w:val="en-US" w:eastAsia="zh-CN"/>
        </w:rPr>
        <w:t>100</w:t>
      </w:r>
      <w:r>
        <w:rPr>
          <w:rFonts w:hint="eastAsia" w:ascii="仿宋_GB2312" w:eastAsia="仿宋_GB2312"/>
          <w:sz w:val="32"/>
          <w:szCs w:val="32"/>
          <w:highlight w:val="none"/>
        </w:rPr>
        <w:t>%，决算数</w:t>
      </w:r>
      <w:r>
        <w:rPr>
          <w:rFonts w:hint="eastAsia" w:ascii="仿宋_GB2312"/>
          <w:sz w:val="32"/>
          <w:szCs w:val="32"/>
          <w:highlight w:val="none"/>
          <w:lang w:eastAsia="zh-CN"/>
        </w:rPr>
        <w:t>等于</w:t>
      </w:r>
      <w:r>
        <w:rPr>
          <w:rFonts w:hint="eastAsia" w:ascii="仿宋_GB2312" w:eastAsia="仿宋_GB2312"/>
          <w:sz w:val="32"/>
          <w:szCs w:val="32"/>
          <w:highlight w:val="none"/>
        </w:rPr>
        <w:t>预算数的主要原因是</w:t>
      </w:r>
      <w:r>
        <w:rPr>
          <w:rFonts w:hint="eastAsia" w:ascii="仿宋_GB2312"/>
          <w:sz w:val="32"/>
          <w:szCs w:val="32"/>
          <w:highlight w:val="none"/>
          <w:lang w:eastAsia="zh-CN"/>
        </w:rPr>
        <w:t>严格按预算支出</w:t>
      </w:r>
      <w:r>
        <w:rPr>
          <w:rFonts w:hint="eastAsia" w:ascii="仿宋_GB2312" w:eastAsia="仿宋_GB2312"/>
          <w:sz w:val="32"/>
          <w:szCs w:val="32"/>
          <w:highlight w:val="none"/>
        </w:rPr>
        <w:t>。公务用车购置及运行维护费与</w:t>
      </w:r>
      <w:r>
        <w:rPr>
          <w:rFonts w:hint="eastAsia" w:ascii="仿宋_GB2312"/>
          <w:sz w:val="32"/>
          <w:szCs w:val="32"/>
          <w:highlight w:val="none"/>
          <w:lang w:eastAsia="zh-CN"/>
        </w:rPr>
        <w:t>2021</w:t>
      </w:r>
      <w:r>
        <w:rPr>
          <w:rFonts w:hint="eastAsia" w:ascii="仿宋_GB2312" w:eastAsia="仿宋_GB2312"/>
          <w:sz w:val="32"/>
          <w:szCs w:val="32"/>
          <w:highlight w:val="none"/>
        </w:rPr>
        <w:t>年相比，增加</w:t>
      </w:r>
      <w:r>
        <w:rPr>
          <w:rFonts w:hint="eastAsia" w:ascii="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hAnsi="仿宋_GB2312" w:eastAsia="仿宋_GB2312" w:cs="仿宋_GB2312"/>
          <w:sz w:val="32"/>
          <w:szCs w:val="32"/>
          <w:highlight w:val="none"/>
          <w:lang w:eastAsia="zh-CN"/>
        </w:rPr>
        <w:t>数据无变</w:t>
      </w:r>
      <w:r>
        <w:rPr>
          <w:rFonts w:hint="eastAsia" w:ascii="仿宋_GB2312" w:hAnsi="仿宋_GB2312" w:cs="仿宋_GB2312"/>
          <w:sz w:val="32"/>
          <w:szCs w:val="32"/>
          <w:highlight w:val="none"/>
          <w:lang w:eastAsia="zh-CN"/>
        </w:rPr>
        <w:t>化。</w:t>
      </w:r>
    </w:p>
    <w:p>
      <w:pPr>
        <w:pageBreakBefore w:val="0"/>
        <w:kinsoku/>
        <w:wordWrap/>
        <w:overflowPunct/>
        <w:topLinePunct w:val="0"/>
        <w:autoSpaceDE w:val="0"/>
        <w:autoSpaceDN w:val="0"/>
        <w:bidi w:val="0"/>
        <w:adjustRightInd w:val="0"/>
        <w:snapToGrid/>
        <w:spacing w:line="580" w:lineRule="exact"/>
        <w:ind w:firstLine="643" w:firstLineChars="200"/>
        <w:textAlignment w:val="auto"/>
        <w:rPr>
          <w:rFonts w:hint="eastAsia" w:ascii="仿宋_GB2312" w:eastAsia="仿宋_GB2312"/>
          <w:sz w:val="32"/>
          <w:szCs w:val="32"/>
          <w:highlight w:val="none"/>
          <w:lang w:eastAsia="zh-CN"/>
        </w:rPr>
      </w:pPr>
      <w:r>
        <w:rPr>
          <w:rFonts w:hint="eastAsia" w:ascii="仿宋_GB2312" w:eastAsia="仿宋_GB2312"/>
          <w:b/>
          <w:bCs/>
          <w:sz w:val="32"/>
          <w:szCs w:val="32"/>
          <w:highlight w:val="none"/>
        </w:rPr>
        <w:t>公务用车购置</w:t>
      </w:r>
      <w:r>
        <w:rPr>
          <w:rFonts w:hint="eastAsia" w:ascii="仿宋_GB2312"/>
          <w:b/>
          <w:bCs/>
          <w:sz w:val="32"/>
          <w:szCs w:val="32"/>
          <w:highlight w:val="none"/>
          <w:lang w:eastAsia="zh-CN"/>
        </w:rPr>
        <w:t>费</w:t>
      </w:r>
      <w:r>
        <w:rPr>
          <w:rFonts w:hint="eastAsia" w:ascii="仿宋_GB2312"/>
          <w:sz w:val="32"/>
          <w:szCs w:val="32"/>
          <w:highlight w:val="none"/>
          <w:lang w:val="en-US" w:eastAsia="zh-CN"/>
        </w:rPr>
        <w:t>0</w:t>
      </w:r>
      <w:r>
        <w:rPr>
          <w:rFonts w:hint="eastAsia" w:ascii="仿宋_GB2312" w:eastAsia="仿宋_GB2312"/>
          <w:sz w:val="32"/>
          <w:szCs w:val="32"/>
          <w:highlight w:val="none"/>
        </w:rPr>
        <w:t>万元，购置公务车</w:t>
      </w:r>
      <w:r>
        <w:rPr>
          <w:rFonts w:hint="eastAsia" w:ascii="仿宋_GB2312"/>
          <w:sz w:val="32"/>
          <w:szCs w:val="32"/>
          <w:highlight w:val="none"/>
          <w:lang w:val="en-US" w:eastAsia="zh-CN"/>
        </w:rPr>
        <w:t>0</w:t>
      </w:r>
      <w:r>
        <w:rPr>
          <w:rFonts w:hint="eastAsia" w:ascii="仿宋_GB2312" w:eastAsia="仿宋_GB2312"/>
          <w:sz w:val="32"/>
          <w:szCs w:val="32"/>
          <w:highlight w:val="none"/>
        </w:rPr>
        <w:t>台</w:t>
      </w:r>
      <w:r>
        <w:rPr>
          <w:rFonts w:hint="eastAsia" w:ascii="仿宋_GB2312"/>
          <w:sz w:val="32"/>
          <w:szCs w:val="32"/>
          <w:highlight w:val="none"/>
          <w:lang w:eastAsia="zh-CN"/>
        </w:rPr>
        <w:t>。</w:t>
      </w:r>
    </w:p>
    <w:p>
      <w:pPr>
        <w:pageBreakBefore w:val="0"/>
        <w:kinsoku/>
        <w:wordWrap/>
        <w:overflowPunct/>
        <w:topLinePunct w:val="0"/>
        <w:autoSpaceDE w:val="0"/>
        <w:autoSpaceDN w:val="0"/>
        <w:bidi w:val="0"/>
        <w:adjustRightInd w:val="0"/>
        <w:snapToGrid/>
        <w:spacing w:line="580" w:lineRule="exact"/>
        <w:ind w:firstLine="643" w:firstLineChars="200"/>
        <w:textAlignment w:val="auto"/>
        <w:rPr>
          <w:rFonts w:hint="eastAsia" w:ascii="仿宋_GB2312" w:eastAsia="仿宋_GB2312"/>
          <w:sz w:val="32"/>
          <w:szCs w:val="32"/>
          <w:highlight w:val="none"/>
        </w:rPr>
      </w:pPr>
      <w:r>
        <w:rPr>
          <w:rFonts w:hint="eastAsia" w:ascii="仿宋_GB2312" w:eastAsia="仿宋_GB2312"/>
          <w:b/>
          <w:bCs/>
          <w:sz w:val="32"/>
          <w:szCs w:val="32"/>
          <w:highlight w:val="none"/>
        </w:rPr>
        <w:t>公务用车运行维护费</w:t>
      </w:r>
      <w:r>
        <w:rPr>
          <w:rFonts w:hint="eastAsia" w:ascii="仿宋_GB2312"/>
          <w:sz w:val="32"/>
          <w:szCs w:val="32"/>
          <w:highlight w:val="none"/>
          <w:lang w:val="en-US" w:eastAsia="zh-CN"/>
        </w:rPr>
        <w:t>12.90</w:t>
      </w:r>
      <w:r>
        <w:rPr>
          <w:rFonts w:hint="eastAsia" w:ascii="仿宋_GB2312" w:eastAsia="仿宋_GB2312"/>
          <w:sz w:val="32"/>
          <w:szCs w:val="32"/>
          <w:highlight w:val="none"/>
        </w:rPr>
        <w:t>万元，主要用于</w:t>
      </w:r>
      <w:r>
        <w:rPr>
          <w:rFonts w:hint="eastAsia" w:ascii="仿宋_GB2312" w:hAnsi="仿宋_GB2312" w:eastAsia="仿宋_GB2312" w:cs="仿宋_GB2312"/>
          <w:sz w:val="32"/>
          <w:szCs w:val="32"/>
          <w:highlight w:val="none"/>
          <w:lang w:eastAsia="zh-CN"/>
        </w:rPr>
        <w:t>公车加油及日常维修</w:t>
      </w:r>
      <w:r>
        <w:rPr>
          <w:rFonts w:hint="eastAsia" w:ascii="仿宋_GB2312" w:eastAsia="仿宋_GB2312"/>
          <w:sz w:val="32"/>
          <w:szCs w:val="32"/>
          <w:highlight w:val="none"/>
        </w:rPr>
        <w:t>等。截至</w:t>
      </w:r>
      <w:r>
        <w:rPr>
          <w:rFonts w:hint="eastAsia" w:ascii="仿宋_GB2312"/>
          <w:sz w:val="32"/>
          <w:szCs w:val="32"/>
          <w:highlight w:val="none"/>
          <w:lang w:eastAsia="zh-CN"/>
        </w:rPr>
        <w:t>2022</w:t>
      </w:r>
      <w:r>
        <w:rPr>
          <w:rFonts w:hint="eastAsia" w:ascii="仿宋_GB2312" w:eastAsia="仿宋_GB2312"/>
          <w:sz w:val="32"/>
          <w:szCs w:val="32"/>
          <w:highlight w:val="none"/>
        </w:rPr>
        <w:t>年12月31日，单位财政拨款开支的公务用车保有量为</w:t>
      </w:r>
      <w:r>
        <w:rPr>
          <w:rFonts w:hint="eastAsia" w:ascii="仿宋_GB2312"/>
          <w:sz w:val="32"/>
          <w:szCs w:val="32"/>
          <w:highlight w:val="none"/>
          <w:lang w:val="en-US" w:eastAsia="zh-CN"/>
        </w:rPr>
        <w:t>3</w:t>
      </w:r>
      <w:r>
        <w:rPr>
          <w:rFonts w:hint="eastAsia" w:ascii="仿宋_GB2312" w:eastAsia="仿宋_GB2312"/>
          <w:sz w:val="32"/>
          <w:szCs w:val="32"/>
          <w:highlight w:val="none"/>
        </w:rPr>
        <w:t>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643" w:firstLineChars="200"/>
        <w:textAlignment w:val="auto"/>
        <w:rPr>
          <w:rFonts w:hint="eastAsia" w:ascii="仿宋_GB2312" w:eastAsia="仿宋_GB2312"/>
          <w:sz w:val="32"/>
          <w:szCs w:val="32"/>
          <w:highlight w:val="none"/>
        </w:rPr>
      </w:pPr>
      <w:r>
        <w:rPr>
          <w:rFonts w:hint="eastAsia" w:ascii="仿宋_GB2312"/>
          <w:b/>
          <w:bCs/>
          <w:sz w:val="32"/>
          <w:szCs w:val="32"/>
          <w:highlight w:val="none"/>
          <w:lang w:val="en-US" w:eastAsia="zh-CN"/>
        </w:rPr>
        <w:t>3.</w:t>
      </w:r>
      <w:r>
        <w:rPr>
          <w:rFonts w:hint="eastAsia" w:ascii="仿宋_GB2312" w:eastAsia="仿宋_GB2312"/>
          <w:b/>
          <w:bCs/>
          <w:sz w:val="32"/>
          <w:szCs w:val="32"/>
          <w:highlight w:val="none"/>
        </w:rPr>
        <w:t>公务接待费</w:t>
      </w:r>
      <w:r>
        <w:rPr>
          <w:rFonts w:hint="eastAsia" w:ascii="仿宋_GB2312" w:eastAsia="仿宋_GB2312"/>
          <w:sz w:val="32"/>
          <w:szCs w:val="32"/>
          <w:highlight w:val="none"/>
        </w:rPr>
        <w:t>预算</w:t>
      </w:r>
      <w:r>
        <w:rPr>
          <w:rFonts w:hint="eastAsia" w:ascii="仿宋_GB2312"/>
          <w:sz w:val="32"/>
          <w:szCs w:val="32"/>
          <w:highlight w:val="none"/>
          <w:lang w:eastAsia="zh-CN"/>
        </w:rPr>
        <w:t>数</w:t>
      </w:r>
      <w:r>
        <w:rPr>
          <w:rFonts w:hint="eastAsia" w:ascii="仿宋_GB2312" w:eastAsia="仿宋_GB2312"/>
          <w:sz w:val="32"/>
          <w:szCs w:val="32"/>
          <w:highlight w:val="none"/>
        </w:rPr>
        <w:t>为</w:t>
      </w:r>
      <w:r>
        <w:rPr>
          <w:rFonts w:hint="eastAsia" w:ascii="仿宋_GB2312"/>
          <w:sz w:val="32"/>
          <w:szCs w:val="32"/>
          <w:highlight w:val="none"/>
          <w:lang w:val="en-US" w:eastAsia="zh-CN"/>
        </w:rPr>
        <w:t>8.07</w:t>
      </w:r>
      <w:r>
        <w:rPr>
          <w:rFonts w:hint="eastAsia" w:ascii="仿宋_GB2312" w:eastAsia="仿宋_GB2312"/>
          <w:sz w:val="32"/>
          <w:szCs w:val="32"/>
          <w:highlight w:val="none"/>
        </w:rPr>
        <w:t>万元，支出决算为</w:t>
      </w:r>
      <w:r>
        <w:rPr>
          <w:rFonts w:hint="eastAsia" w:ascii="仿宋_GB2312"/>
          <w:sz w:val="32"/>
          <w:szCs w:val="32"/>
          <w:highlight w:val="none"/>
          <w:lang w:val="en-US" w:eastAsia="zh-CN"/>
        </w:rPr>
        <w:t>7.79</w:t>
      </w:r>
      <w:r>
        <w:rPr>
          <w:rFonts w:hint="eastAsia" w:ascii="仿宋_GB2312" w:eastAsia="仿宋_GB2312"/>
          <w:sz w:val="32"/>
          <w:szCs w:val="32"/>
          <w:highlight w:val="none"/>
        </w:rPr>
        <w:t>万元，完成预算</w:t>
      </w:r>
      <w:r>
        <w:rPr>
          <w:rFonts w:hint="eastAsia" w:ascii="仿宋_GB2312"/>
          <w:sz w:val="32"/>
          <w:szCs w:val="32"/>
          <w:highlight w:val="none"/>
          <w:lang w:eastAsia="zh-CN"/>
        </w:rPr>
        <w:t>数</w:t>
      </w:r>
      <w:r>
        <w:rPr>
          <w:rFonts w:hint="eastAsia" w:ascii="仿宋_GB2312" w:eastAsia="仿宋_GB2312"/>
          <w:sz w:val="32"/>
          <w:szCs w:val="32"/>
          <w:highlight w:val="none"/>
        </w:rPr>
        <w:t>的</w:t>
      </w:r>
      <w:r>
        <w:rPr>
          <w:rFonts w:hint="eastAsia" w:ascii="仿宋_GB2312"/>
          <w:sz w:val="32"/>
          <w:szCs w:val="32"/>
          <w:highlight w:val="none"/>
          <w:lang w:val="en-US" w:eastAsia="zh-CN"/>
        </w:rPr>
        <w:t>96.53</w:t>
      </w:r>
      <w:r>
        <w:rPr>
          <w:rFonts w:hint="eastAsia" w:ascii="仿宋_GB2312" w:eastAsia="仿宋_GB2312"/>
          <w:sz w:val="32"/>
          <w:szCs w:val="32"/>
          <w:highlight w:val="none"/>
        </w:rPr>
        <w:t>%，决算数小于预算数的主要原因是</w:t>
      </w:r>
      <w:r>
        <w:rPr>
          <w:rFonts w:hint="eastAsia" w:ascii="仿宋_GB2312" w:hAnsi="仿宋_GB2312" w:eastAsia="仿宋_GB2312" w:cs="仿宋_GB2312"/>
          <w:sz w:val="32"/>
          <w:szCs w:val="32"/>
          <w:highlight w:val="none"/>
          <w:lang w:eastAsia="zh-CN"/>
        </w:rPr>
        <w:t>公务接待减少、严控三公经费、减少支出</w:t>
      </w:r>
      <w:r>
        <w:rPr>
          <w:rFonts w:hint="eastAsia" w:ascii="仿宋_GB2312" w:hAnsi="仿宋_GB2312" w:eastAsia="仿宋_GB2312" w:cs="仿宋_GB2312"/>
          <w:sz w:val="32"/>
          <w:szCs w:val="32"/>
          <w:highlight w:val="none"/>
        </w:rPr>
        <w:t>。</w:t>
      </w:r>
      <w:r>
        <w:rPr>
          <w:rFonts w:hint="eastAsia" w:ascii="仿宋_GB2312" w:eastAsia="仿宋_GB2312"/>
          <w:sz w:val="32"/>
          <w:szCs w:val="32"/>
          <w:highlight w:val="none"/>
        </w:rPr>
        <w:t>公务接待费与</w:t>
      </w:r>
      <w:r>
        <w:rPr>
          <w:rFonts w:hint="eastAsia" w:ascii="仿宋_GB2312"/>
          <w:sz w:val="32"/>
          <w:szCs w:val="32"/>
          <w:highlight w:val="none"/>
          <w:lang w:eastAsia="zh-CN"/>
        </w:rPr>
        <w:t>2021</w:t>
      </w:r>
      <w:r>
        <w:rPr>
          <w:rFonts w:hint="eastAsia" w:ascii="仿宋_GB2312" w:eastAsia="仿宋_GB2312"/>
          <w:sz w:val="32"/>
          <w:szCs w:val="32"/>
          <w:highlight w:val="none"/>
        </w:rPr>
        <w:t>年相比，减少</w:t>
      </w:r>
      <w:r>
        <w:rPr>
          <w:rFonts w:hint="eastAsia" w:ascii="仿宋_GB2312"/>
          <w:sz w:val="32"/>
          <w:szCs w:val="32"/>
          <w:highlight w:val="none"/>
          <w:lang w:val="en-US" w:eastAsia="zh-CN"/>
        </w:rPr>
        <w:t>0.28</w:t>
      </w:r>
      <w:r>
        <w:rPr>
          <w:rFonts w:hint="eastAsia" w:ascii="仿宋_GB2312" w:eastAsia="仿宋_GB2312"/>
          <w:sz w:val="32"/>
          <w:szCs w:val="32"/>
          <w:highlight w:val="none"/>
        </w:rPr>
        <w:t>万元，降低</w:t>
      </w:r>
      <w:r>
        <w:rPr>
          <w:rFonts w:hint="eastAsia" w:ascii="仿宋_GB2312"/>
          <w:sz w:val="32"/>
          <w:szCs w:val="32"/>
          <w:highlight w:val="none"/>
          <w:lang w:val="en-US" w:eastAsia="zh-CN"/>
        </w:rPr>
        <w:t>3.46</w:t>
      </w:r>
      <w:r>
        <w:rPr>
          <w:rFonts w:hint="eastAsia" w:ascii="仿宋_GB2312" w:eastAsia="仿宋_GB2312"/>
          <w:sz w:val="32"/>
          <w:szCs w:val="32"/>
          <w:highlight w:val="none"/>
        </w:rPr>
        <w:t>%，减少的主要原因是</w:t>
      </w:r>
      <w:r>
        <w:rPr>
          <w:rFonts w:hint="eastAsia" w:ascii="仿宋_GB2312" w:hAnsi="仿宋_GB2312" w:eastAsia="仿宋_GB2312" w:cs="仿宋_GB2312"/>
          <w:sz w:val="32"/>
          <w:szCs w:val="32"/>
          <w:highlight w:val="none"/>
          <w:lang w:eastAsia="zh-CN"/>
        </w:rPr>
        <w:t>公务接待减少、严控三公经费、减少支出</w:t>
      </w:r>
      <w:r>
        <w:rPr>
          <w:rFonts w:hint="eastAsia" w:ascii="仿宋_GB2312" w:eastAsia="仿宋_GB2312"/>
          <w:sz w:val="32"/>
          <w:szCs w:val="32"/>
          <w:highlight w:val="none"/>
        </w:rPr>
        <w:t>。</w:t>
      </w:r>
      <w:r>
        <w:rPr>
          <w:rFonts w:hint="eastAsia" w:ascii="仿宋_GB2312"/>
          <w:sz w:val="32"/>
          <w:szCs w:val="32"/>
          <w:highlight w:val="none"/>
          <w:lang w:eastAsia="zh-CN"/>
        </w:rPr>
        <w:t>2022</w:t>
      </w:r>
      <w:r>
        <w:rPr>
          <w:rFonts w:hint="eastAsia" w:ascii="仿宋_GB2312" w:eastAsia="仿宋_GB2312"/>
          <w:sz w:val="32"/>
          <w:szCs w:val="32"/>
          <w:highlight w:val="none"/>
        </w:rPr>
        <w:t>年国内公务接待</w:t>
      </w:r>
      <w:r>
        <w:rPr>
          <w:rFonts w:hint="eastAsia" w:ascii="仿宋_GB2312"/>
          <w:sz w:val="32"/>
          <w:szCs w:val="32"/>
          <w:highlight w:val="none"/>
          <w:lang w:val="en-US" w:eastAsia="zh-CN"/>
        </w:rPr>
        <w:t>52</w:t>
      </w:r>
      <w:r>
        <w:rPr>
          <w:rFonts w:hint="eastAsia" w:ascii="仿宋_GB2312" w:eastAsia="仿宋_GB2312"/>
          <w:sz w:val="32"/>
          <w:szCs w:val="32"/>
          <w:highlight w:val="none"/>
        </w:rPr>
        <w:t>批次，</w:t>
      </w:r>
      <w:r>
        <w:rPr>
          <w:rFonts w:hint="eastAsia" w:ascii="仿宋_GB2312"/>
          <w:sz w:val="32"/>
          <w:szCs w:val="32"/>
          <w:highlight w:val="none"/>
          <w:lang w:val="en-US" w:eastAsia="zh-CN"/>
        </w:rPr>
        <w:t>2012</w:t>
      </w:r>
      <w:r>
        <w:rPr>
          <w:rFonts w:hint="eastAsia" w:ascii="仿宋_GB2312" w:eastAsia="仿宋_GB2312"/>
          <w:sz w:val="32"/>
          <w:szCs w:val="32"/>
          <w:highlight w:val="none"/>
        </w:rPr>
        <w:t>人次，支出</w:t>
      </w:r>
      <w:r>
        <w:rPr>
          <w:rFonts w:hint="eastAsia" w:ascii="仿宋_GB2312"/>
          <w:sz w:val="32"/>
          <w:szCs w:val="32"/>
          <w:highlight w:val="none"/>
          <w:lang w:val="en-US" w:eastAsia="zh-CN"/>
        </w:rPr>
        <w:t>7.79</w:t>
      </w:r>
      <w:r>
        <w:rPr>
          <w:rFonts w:hint="eastAsia" w:ascii="仿宋_GB2312" w:eastAsia="仿宋_GB2312"/>
          <w:sz w:val="32"/>
          <w:szCs w:val="32"/>
          <w:highlight w:val="none"/>
        </w:rPr>
        <w:t>万元，其中：外事接待费接待</w:t>
      </w:r>
      <w:r>
        <w:rPr>
          <w:rFonts w:hint="eastAsia" w:ascii="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sz w:val="32"/>
          <w:szCs w:val="32"/>
          <w:highlight w:val="none"/>
          <w:lang w:val="en-US" w:eastAsia="zh-CN"/>
        </w:rPr>
        <w:t>0</w:t>
      </w:r>
      <w:r>
        <w:rPr>
          <w:rFonts w:hint="eastAsia" w:ascii="仿宋_GB2312" w:eastAsia="仿宋_GB2312"/>
          <w:sz w:val="32"/>
          <w:szCs w:val="32"/>
          <w:highlight w:val="none"/>
        </w:rPr>
        <w:t>人次，支出</w:t>
      </w:r>
      <w:r>
        <w:rPr>
          <w:rFonts w:hint="eastAsia" w:ascii="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sz w:val="32"/>
          <w:szCs w:val="32"/>
          <w:highlight w:val="none"/>
          <w:lang w:eastAsia="zh-CN"/>
        </w:rPr>
        <w:t>国（境）外</w:t>
      </w:r>
      <w:r>
        <w:rPr>
          <w:rFonts w:hint="eastAsia" w:ascii="仿宋_GB2312" w:eastAsia="仿宋_GB2312"/>
          <w:sz w:val="32"/>
          <w:szCs w:val="32"/>
          <w:highlight w:val="none"/>
        </w:rPr>
        <w:t>公务接待</w:t>
      </w:r>
      <w:r>
        <w:rPr>
          <w:rFonts w:hint="eastAsia" w:ascii="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sz w:val="32"/>
          <w:szCs w:val="32"/>
          <w:highlight w:val="none"/>
          <w:lang w:val="en-US" w:eastAsia="zh-CN"/>
        </w:rPr>
        <w:t>0</w:t>
      </w:r>
      <w:r>
        <w:rPr>
          <w:rFonts w:hint="eastAsia" w:ascii="仿宋_GB2312" w:eastAsia="仿宋_GB2312"/>
          <w:sz w:val="32"/>
          <w:szCs w:val="32"/>
          <w:highlight w:val="none"/>
        </w:rPr>
        <w:t>人次，支出</w:t>
      </w:r>
      <w:r>
        <w:rPr>
          <w:rFonts w:hint="eastAsia" w:ascii="仿宋_GB2312"/>
          <w:sz w:val="32"/>
          <w:szCs w:val="32"/>
          <w:highlight w:val="none"/>
          <w:lang w:val="en-US" w:eastAsia="zh-CN"/>
        </w:rPr>
        <w:t>0</w:t>
      </w:r>
      <w:r>
        <w:rPr>
          <w:rFonts w:hint="eastAsia" w:ascii="仿宋_GB2312" w:eastAsia="仿宋_GB2312"/>
          <w:sz w:val="32"/>
          <w:szCs w:val="32"/>
          <w:highlight w:val="none"/>
        </w:rPr>
        <w:t>万元。</w:t>
      </w:r>
    </w:p>
    <w:p>
      <w:pPr>
        <w:pStyle w:val="3"/>
        <w:pageBreakBefore w:val="0"/>
        <w:kinsoku/>
        <w:wordWrap/>
        <w:overflowPunct/>
        <w:topLinePunct w:val="0"/>
        <w:bidi w:val="0"/>
        <w:snapToGrid/>
        <w:spacing w:before="0" w:beforeLines="0" w:after="0" w:afterLines="0" w:line="580" w:lineRule="exact"/>
        <w:textAlignment w:val="auto"/>
        <w:outlineLvl w:val="1"/>
        <w:rPr>
          <w:rFonts w:hint="eastAsia" w:ascii="黑体" w:hAnsi="黑体" w:eastAsia="黑体" w:cs="黑体"/>
          <w:sz w:val="32"/>
          <w:szCs w:val="32"/>
        </w:rPr>
      </w:pPr>
      <w:bookmarkStart w:id="85" w:name="_Toc23339_WPSOffice_Level2"/>
      <w:bookmarkStart w:id="86" w:name="_Toc9906_WPSOffice_Level2"/>
      <w:bookmarkStart w:id="87" w:name="_Toc15970"/>
      <w:bookmarkStart w:id="88" w:name="_Toc6508"/>
      <w:bookmarkStart w:id="89" w:name="_Toc394_WPSOffice_Level2"/>
      <w:r>
        <w:rPr>
          <w:rFonts w:hint="eastAsia" w:ascii="黑体" w:hAnsi="黑体" w:eastAsia="黑体" w:cs="黑体"/>
          <w:sz w:val="32"/>
          <w:szCs w:val="32"/>
        </w:rPr>
        <w:t>八、</w:t>
      </w:r>
      <w:r>
        <w:rPr>
          <w:rFonts w:hint="eastAsia" w:ascii="黑体" w:hAnsi="黑体" w:eastAsia="黑体" w:cs="黑体"/>
          <w:sz w:val="32"/>
          <w:szCs w:val="32"/>
          <w:lang w:eastAsia="zh-CN"/>
        </w:rPr>
        <w:t>2022</w:t>
      </w:r>
      <w:r>
        <w:rPr>
          <w:rFonts w:hint="eastAsia" w:ascii="黑体" w:hAnsi="黑体" w:eastAsia="黑体" w:cs="黑体"/>
          <w:sz w:val="32"/>
          <w:szCs w:val="32"/>
        </w:rPr>
        <w:t>年度政府性基金预算财政拨款收入支出决算情况说明</w:t>
      </w:r>
      <w:bookmarkEnd w:id="85"/>
      <w:bookmarkEnd w:id="86"/>
      <w:bookmarkEnd w:id="87"/>
      <w:bookmarkEnd w:id="88"/>
      <w:bookmarkEnd w:id="89"/>
    </w:p>
    <w:p>
      <w:pPr>
        <w:pageBreakBefore w:val="0"/>
        <w:kinsoku/>
        <w:wordWrap/>
        <w:overflowPunct/>
        <w:topLinePunct w:val="0"/>
        <w:bidi w:val="0"/>
        <w:snapToGrid/>
        <w:spacing w:line="580" w:lineRule="exact"/>
        <w:ind w:firstLine="640" w:firstLineChars="200"/>
        <w:textAlignment w:val="auto"/>
        <w:rPr>
          <w:rFonts w:hint="eastAsia" w:ascii="仿宋_GB2312" w:eastAsia="仿宋_GB2312"/>
          <w:sz w:val="32"/>
          <w:szCs w:val="32"/>
          <w:highlight w:val="none"/>
        </w:rPr>
      </w:pPr>
      <w:r>
        <w:rPr>
          <w:rFonts w:hint="eastAsia" w:ascii="仿宋_GB2312" w:hAnsi="华文中宋" w:eastAsia="仿宋_GB2312"/>
          <w:sz w:val="32"/>
          <w:szCs w:val="32"/>
        </w:rPr>
        <w:t>（一）</w:t>
      </w:r>
      <w:r>
        <w:rPr>
          <w:rFonts w:hint="eastAsia" w:ascii="仿宋_GB2312" w:hAnsi="华文中宋"/>
          <w:sz w:val="32"/>
          <w:szCs w:val="32"/>
          <w:lang w:eastAsia="zh-CN"/>
        </w:rPr>
        <w:t>2022</w:t>
      </w:r>
      <w:r>
        <w:rPr>
          <w:rFonts w:hint="eastAsia" w:ascii="仿宋_GB2312" w:hAnsi="华文中宋" w:eastAsia="仿宋_GB2312"/>
          <w:sz w:val="32"/>
          <w:szCs w:val="32"/>
        </w:rPr>
        <w:t>年度政府性基金预算财政拨款收入决算总额为</w:t>
      </w:r>
      <w:r>
        <w:rPr>
          <w:rFonts w:hint="eastAsia" w:ascii="仿宋_GB2312"/>
          <w:sz w:val="32"/>
          <w:szCs w:val="32"/>
          <w:highlight w:val="none"/>
          <w:lang w:val="en-US" w:eastAsia="zh-CN"/>
        </w:rPr>
        <w:t>34.98</w:t>
      </w:r>
      <w:r>
        <w:rPr>
          <w:rFonts w:hint="eastAsia" w:ascii="仿宋_GB2312" w:eastAsia="仿宋_GB2312"/>
          <w:sz w:val="32"/>
          <w:szCs w:val="32"/>
          <w:highlight w:val="none"/>
        </w:rPr>
        <w:t>万</w:t>
      </w:r>
      <w:r>
        <w:rPr>
          <w:rFonts w:hint="eastAsia" w:ascii="仿宋_GB2312" w:hAnsi="华文中宋" w:eastAsia="仿宋_GB2312"/>
          <w:sz w:val="32"/>
          <w:szCs w:val="32"/>
          <w:highlight w:val="none"/>
        </w:rPr>
        <w:t>元，与</w:t>
      </w:r>
      <w:r>
        <w:rPr>
          <w:rFonts w:hint="eastAsia" w:ascii="仿宋_GB2312" w:hAnsi="华文中宋"/>
          <w:sz w:val="32"/>
          <w:szCs w:val="32"/>
          <w:highlight w:val="none"/>
          <w:lang w:eastAsia="zh-CN"/>
        </w:rPr>
        <w:t>2021</w:t>
      </w:r>
      <w:r>
        <w:rPr>
          <w:rFonts w:hint="eastAsia" w:ascii="仿宋_GB2312" w:hAnsi="华文中宋" w:eastAsia="仿宋_GB2312"/>
          <w:sz w:val="32"/>
          <w:szCs w:val="32"/>
          <w:highlight w:val="none"/>
        </w:rPr>
        <w:t>年相比，</w:t>
      </w:r>
      <w:r>
        <w:rPr>
          <w:rFonts w:hint="eastAsia" w:ascii="仿宋_GB2312"/>
          <w:sz w:val="32"/>
          <w:szCs w:val="32"/>
          <w:highlight w:val="none"/>
          <w:lang w:eastAsia="zh-CN"/>
        </w:rPr>
        <w:t>减少</w:t>
      </w:r>
      <w:r>
        <w:rPr>
          <w:rFonts w:hint="eastAsia" w:ascii="仿宋_GB2312"/>
          <w:sz w:val="32"/>
          <w:szCs w:val="32"/>
          <w:highlight w:val="none"/>
          <w:lang w:val="en-US" w:eastAsia="zh-CN"/>
        </w:rPr>
        <w:t>30.02</w:t>
      </w:r>
      <w:r>
        <w:rPr>
          <w:rFonts w:hint="eastAsia" w:ascii="仿宋_GB2312" w:eastAsia="仿宋_GB2312"/>
          <w:sz w:val="32"/>
          <w:szCs w:val="32"/>
          <w:highlight w:val="none"/>
        </w:rPr>
        <w:t>万元，</w:t>
      </w:r>
      <w:r>
        <w:rPr>
          <w:rFonts w:hint="eastAsia" w:ascii="仿宋_GB2312"/>
          <w:sz w:val="32"/>
          <w:szCs w:val="32"/>
          <w:highlight w:val="none"/>
          <w:lang w:eastAsia="zh-CN"/>
        </w:rPr>
        <w:t>降低</w:t>
      </w:r>
      <w:r>
        <w:rPr>
          <w:rFonts w:hint="eastAsia" w:ascii="仿宋_GB2312"/>
          <w:sz w:val="32"/>
          <w:szCs w:val="32"/>
          <w:highlight w:val="none"/>
          <w:lang w:val="en-US" w:eastAsia="zh-CN"/>
        </w:rPr>
        <w:t>46.18</w:t>
      </w:r>
      <w:r>
        <w:rPr>
          <w:rFonts w:hint="eastAsia" w:ascii="仿宋_GB2312" w:eastAsia="仿宋_GB2312"/>
          <w:sz w:val="32"/>
          <w:szCs w:val="32"/>
          <w:highlight w:val="none"/>
        </w:rPr>
        <w:t>%，主要原因是</w:t>
      </w:r>
      <w:r>
        <w:rPr>
          <w:rFonts w:hint="eastAsia" w:ascii="仿宋_GB2312"/>
          <w:sz w:val="32"/>
          <w:szCs w:val="32"/>
          <w:highlight w:val="none"/>
          <w:lang w:eastAsia="zh-CN"/>
        </w:rPr>
        <w:t>基金预算减少</w:t>
      </w:r>
      <w:r>
        <w:rPr>
          <w:rFonts w:hint="eastAsia" w:ascii="仿宋_GB2312" w:eastAsia="仿宋_GB2312"/>
          <w:sz w:val="32"/>
          <w:szCs w:val="32"/>
          <w:highlight w:val="none"/>
        </w:rPr>
        <w:t>。</w:t>
      </w:r>
    </w:p>
    <w:p>
      <w:pPr>
        <w:pageBreakBefore w:val="0"/>
        <w:kinsoku/>
        <w:wordWrap/>
        <w:overflowPunct/>
        <w:topLinePunct w:val="0"/>
        <w:bidi w:val="0"/>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highlight w:val="none"/>
        </w:rPr>
        <w:t>（二）</w:t>
      </w:r>
      <w:r>
        <w:rPr>
          <w:rFonts w:hint="eastAsia" w:ascii="仿宋_GB2312"/>
          <w:sz w:val="32"/>
          <w:szCs w:val="32"/>
          <w:highlight w:val="none"/>
          <w:lang w:eastAsia="zh-CN"/>
        </w:rPr>
        <w:t>2022</w:t>
      </w:r>
      <w:r>
        <w:rPr>
          <w:rFonts w:hint="eastAsia" w:ascii="仿宋_GB2312" w:eastAsia="仿宋_GB2312"/>
          <w:sz w:val="32"/>
          <w:szCs w:val="32"/>
          <w:highlight w:val="none"/>
        </w:rPr>
        <w:t>年度政府性基金预算财政拨款支出决算总额为</w:t>
      </w:r>
      <w:r>
        <w:rPr>
          <w:rFonts w:hint="eastAsia" w:ascii="仿宋_GB2312"/>
          <w:sz w:val="32"/>
          <w:szCs w:val="32"/>
          <w:highlight w:val="none"/>
          <w:lang w:val="en-US" w:eastAsia="zh-CN"/>
        </w:rPr>
        <w:t>34.98</w:t>
      </w:r>
      <w:r>
        <w:rPr>
          <w:rFonts w:hint="eastAsia" w:ascii="仿宋_GB2312" w:eastAsia="仿宋_GB2312"/>
          <w:sz w:val="32"/>
          <w:szCs w:val="32"/>
          <w:highlight w:val="none"/>
        </w:rPr>
        <w:t>万元，</w:t>
      </w:r>
      <w:r>
        <w:rPr>
          <w:rFonts w:hint="eastAsia" w:ascii="仿宋_GB2312" w:hAnsi="华文中宋" w:eastAsia="仿宋_GB2312"/>
          <w:sz w:val="32"/>
          <w:szCs w:val="32"/>
          <w:highlight w:val="none"/>
        </w:rPr>
        <w:t>与</w:t>
      </w:r>
      <w:r>
        <w:rPr>
          <w:rFonts w:hint="eastAsia" w:ascii="仿宋_GB2312" w:hAnsi="华文中宋"/>
          <w:sz w:val="32"/>
          <w:szCs w:val="32"/>
          <w:highlight w:val="none"/>
          <w:lang w:eastAsia="zh-CN"/>
        </w:rPr>
        <w:t>2021</w:t>
      </w:r>
      <w:r>
        <w:rPr>
          <w:rFonts w:hint="eastAsia" w:ascii="仿宋_GB2312" w:hAnsi="华文中宋" w:eastAsia="仿宋_GB2312"/>
          <w:sz w:val="32"/>
          <w:szCs w:val="32"/>
          <w:highlight w:val="none"/>
        </w:rPr>
        <w:t>年相比，</w:t>
      </w:r>
      <w:r>
        <w:rPr>
          <w:rFonts w:hint="eastAsia" w:ascii="仿宋_GB2312"/>
          <w:sz w:val="32"/>
          <w:szCs w:val="32"/>
          <w:highlight w:val="none"/>
          <w:lang w:eastAsia="zh-CN"/>
        </w:rPr>
        <w:t>减少</w:t>
      </w:r>
      <w:r>
        <w:rPr>
          <w:rFonts w:hint="eastAsia" w:ascii="仿宋_GB2312"/>
          <w:sz w:val="32"/>
          <w:szCs w:val="32"/>
          <w:highlight w:val="none"/>
          <w:lang w:val="en-US" w:eastAsia="zh-CN"/>
        </w:rPr>
        <w:t>30.02</w:t>
      </w:r>
      <w:r>
        <w:rPr>
          <w:rFonts w:hint="eastAsia" w:ascii="仿宋_GB2312" w:eastAsia="仿宋_GB2312"/>
          <w:sz w:val="32"/>
          <w:szCs w:val="32"/>
          <w:highlight w:val="none"/>
        </w:rPr>
        <w:t>万元，</w:t>
      </w:r>
      <w:r>
        <w:rPr>
          <w:rFonts w:hint="eastAsia" w:ascii="仿宋_GB2312"/>
          <w:sz w:val="32"/>
          <w:szCs w:val="32"/>
          <w:highlight w:val="none"/>
          <w:lang w:eastAsia="zh-CN"/>
        </w:rPr>
        <w:t>降低</w:t>
      </w:r>
      <w:r>
        <w:rPr>
          <w:rFonts w:hint="eastAsia" w:ascii="仿宋_GB2312"/>
          <w:sz w:val="32"/>
          <w:szCs w:val="32"/>
          <w:highlight w:val="none"/>
          <w:lang w:val="en-US" w:eastAsia="zh-CN"/>
        </w:rPr>
        <w:t>46.18</w:t>
      </w:r>
      <w:r>
        <w:rPr>
          <w:rFonts w:hint="eastAsia" w:ascii="仿宋_GB2312" w:eastAsia="仿宋_GB2312"/>
          <w:sz w:val="32"/>
          <w:szCs w:val="32"/>
          <w:highlight w:val="none"/>
        </w:rPr>
        <w:t>%，主要原因是</w:t>
      </w:r>
      <w:r>
        <w:rPr>
          <w:rFonts w:hint="eastAsia" w:ascii="仿宋_GB2312"/>
          <w:sz w:val="32"/>
          <w:szCs w:val="32"/>
          <w:highlight w:val="none"/>
          <w:lang w:eastAsia="zh-CN"/>
        </w:rPr>
        <w:t>基金预算减少</w:t>
      </w:r>
      <w:r>
        <w:rPr>
          <w:rFonts w:hint="eastAsia" w:ascii="仿宋_GB2312" w:eastAsia="仿宋_GB2312"/>
          <w:sz w:val="32"/>
          <w:szCs w:val="32"/>
          <w:highlight w:val="none"/>
        </w:rPr>
        <w:t>。</w:t>
      </w:r>
      <w:r>
        <w:rPr>
          <w:rFonts w:hint="eastAsia" w:ascii="仿宋_GB2312" w:eastAsia="仿宋_GB2312"/>
          <w:sz w:val="32"/>
          <w:szCs w:val="32"/>
        </w:rPr>
        <w:t>其中：</w:t>
      </w:r>
    </w:p>
    <w:p>
      <w:pPr>
        <w:pStyle w:val="11"/>
        <w:spacing w:line="240" w:lineRule="auto"/>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城乡社区支出（类）国有土地使用权出让收入安排的支出（款）土地出让业务支出（项）</w:t>
      </w:r>
      <w:r>
        <w:rPr>
          <w:rFonts w:hint="eastAsia" w:ascii="仿宋_GB2312" w:eastAsia="仿宋_GB2312"/>
          <w:sz w:val="32"/>
          <w:szCs w:val="32"/>
        </w:rPr>
        <w:t>支出</w:t>
      </w:r>
      <w:r>
        <w:rPr>
          <w:rFonts w:hint="eastAsia" w:ascii="仿宋_GB2312" w:eastAsia="仿宋_GB2312"/>
          <w:sz w:val="32"/>
          <w:szCs w:val="32"/>
          <w:highlight w:val="none"/>
          <w:lang w:val="en-US" w:eastAsia="zh-CN"/>
        </w:rPr>
        <w:t>20</w:t>
      </w:r>
      <w:r>
        <w:rPr>
          <w:rFonts w:hint="eastAsia" w:ascii="仿宋_GB2312" w:eastAsia="仿宋_GB2312"/>
          <w:sz w:val="32"/>
          <w:szCs w:val="32"/>
        </w:rPr>
        <w:t>万元，</w:t>
      </w:r>
      <w:r>
        <w:rPr>
          <w:rFonts w:hint="eastAsia" w:ascii="仿宋_GB2312" w:eastAsia="仿宋_GB2312"/>
          <w:sz w:val="32"/>
          <w:szCs w:val="32"/>
          <w:lang w:eastAsia="zh-CN"/>
        </w:rPr>
        <w:t>主</w:t>
      </w:r>
      <w:r>
        <w:rPr>
          <w:rFonts w:hint="eastAsia" w:ascii="仿宋_GB2312" w:eastAsia="仿宋_GB2312"/>
          <w:sz w:val="32"/>
          <w:szCs w:val="32"/>
          <w:highlight w:val="none"/>
          <w:lang w:eastAsia="zh-CN"/>
        </w:rPr>
        <w:t>要用于</w:t>
      </w:r>
      <w:r>
        <w:rPr>
          <w:rFonts w:hint="eastAsia" w:ascii="仿宋_GB2312" w:eastAsia="仿宋_GB2312"/>
          <w:sz w:val="32"/>
          <w:szCs w:val="32"/>
          <w:highlight w:val="none"/>
        </w:rPr>
        <w:t>征拆安置工作</w:t>
      </w:r>
      <w:r>
        <w:rPr>
          <w:rFonts w:hint="eastAsia" w:ascii="仿宋_GB2312" w:eastAsia="仿宋_GB2312"/>
          <w:sz w:val="32"/>
          <w:szCs w:val="32"/>
          <w:highlight w:val="none"/>
          <w:lang w:eastAsia="zh-CN"/>
        </w:rPr>
        <w:t>。</w:t>
      </w:r>
    </w:p>
    <w:p>
      <w:pPr>
        <w:pStyle w:val="11"/>
        <w:spacing w:line="24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w:t>
      </w:r>
      <w:r>
        <w:rPr>
          <w:rFonts w:hint="eastAsia" w:ascii="仿宋_GB2312" w:hAnsi="仿宋_GB2312" w:eastAsia="仿宋_GB2312" w:cs="仿宋_GB2312"/>
          <w:sz w:val="32"/>
          <w:szCs w:val="32"/>
          <w:highlight w:val="none"/>
          <w:lang w:val="en-US" w:eastAsia="zh-CN"/>
        </w:rPr>
        <w:t>城乡社区支出</w:t>
      </w:r>
      <w:r>
        <w:rPr>
          <w:rFonts w:hint="eastAsia" w:ascii="仿宋_GB2312" w:eastAsia="仿宋_GB2312" w:cs="仿宋_GB2312"/>
          <w:sz w:val="32"/>
          <w:szCs w:val="32"/>
          <w:highlight w:val="none"/>
        </w:rPr>
        <w:t>（类）</w:t>
      </w:r>
      <w:r>
        <w:rPr>
          <w:rFonts w:hint="eastAsia" w:ascii="仿宋_GB2312" w:eastAsia="仿宋_GB2312"/>
          <w:sz w:val="32"/>
          <w:szCs w:val="32"/>
          <w:highlight w:val="none"/>
        </w:rPr>
        <w:t>城市基础设施配套费安排的支出</w:t>
      </w:r>
      <w:r>
        <w:rPr>
          <w:rFonts w:hint="eastAsia" w:ascii="仿宋_GB2312" w:eastAsia="仿宋_GB2312" w:cs="仿宋_GB2312"/>
          <w:sz w:val="32"/>
          <w:szCs w:val="32"/>
          <w:highlight w:val="none"/>
        </w:rPr>
        <w:t>（款）</w:t>
      </w:r>
      <w:r>
        <w:rPr>
          <w:rFonts w:hint="eastAsia" w:ascii="仿宋_GB2312" w:eastAsia="仿宋_GB2312"/>
          <w:sz w:val="32"/>
          <w:szCs w:val="32"/>
          <w:highlight w:val="none"/>
        </w:rPr>
        <w:t>城市公共设施</w:t>
      </w:r>
      <w:r>
        <w:rPr>
          <w:rFonts w:hint="eastAsia" w:ascii="仿宋_GB2312" w:eastAsia="仿宋_GB2312" w:cs="仿宋_GB2312"/>
          <w:sz w:val="32"/>
          <w:szCs w:val="32"/>
          <w:highlight w:val="none"/>
        </w:rPr>
        <w:t>（项）</w:t>
      </w:r>
      <w:r>
        <w:rPr>
          <w:rFonts w:hint="eastAsia" w:ascii="仿宋_GB2312" w:eastAsia="仿宋_GB2312"/>
          <w:sz w:val="32"/>
          <w:szCs w:val="32"/>
          <w:highlight w:val="none"/>
        </w:rPr>
        <w:t>支出</w:t>
      </w:r>
      <w:r>
        <w:rPr>
          <w:rFonts w:hint="eastAsia" w:ascii="仿宋_GB2312" w:eastAsia="仿宋_GB2312"/>
          <w:sz w:val="32"/>
          <w:szCs w:val="32"/>
          <w:highlight w:val="none"/>
          <w:lang w:val="en-US" w:eastAsia="zh-CN"/>
        </w:rPr>
        <w:t>14.98</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主要用于</w:t>
      </w:r>
      <w:r>
        <w:rPr>
          <w:rFonts w:hint="eastAsia" w:ascii="仿宋_GB2312" w:eastAsia="仿宋_GB2312"/>
          <w:sz w:val="32"/>
          <w:szCs w:val="32"/>
          <w:highlight w:val="none"/>
        </w:rPr>
        <w:t>城市建设整治工作</w:t>
      </w:r>
      <w:r>
        <w:rPr>
          <w:rFonts w:hint="eastAsia" w:ascii="仿宋_GB2312" w:eastAsia="仿宋_GB2312"/>
          <w:sz w:val="32"/>
          <w:szCs w:val="32"/>
          <w:highlight w:val="none"/>
          <w:lang w:eastAsia="zh-CN"/>
        </w:rPr>
        <w:t>。</w:t>
      </w:r>
    </w:p>
    <w:p>
      <w:pPr>
        <w:pStyle w:val="3"/>
        <w:pageBreakBefore w:val="0"/>
        <w:kinsoku/>
        <w:wordWrap/>
        <w:overflowPunct/>
        <w:topLinePunct w:val="0"/>
        <w:bidi w:val="0"/>
        <w:snapToGrid/>
        <w:spacing w:before="0" w:beforeLines="0" w:after="0" w:afterLines="0" w:line="580" w:lineRule="exact"/>
        <w:textAlignment w:val="auto"/>
        <w:outlineLvl w:val="1"/>
        <w:rPr>
          <w:rFonts w:hint="eastAsia" w:ascii="黑体" w:hAnsi="黑体" w:eastAsia="黑体" w:cs="黑体"/>
          <w:sz w:val="32"/>
          <w:szCs w:val="32"/>
        </w:rPr>
      </w:pPr>
      <w:bookmarkStart w:id="90" w:name="_Toc14011_WPSOffice_Level2"/>
      <w:bookmarkStart w:id="91" w:name="_Toc3292"/>
      <w:bookmarkStart w:id="92" w:name="_Toc132_WPSOffice_Level2"/>
      <w:bookmarkStart w:id="93" w:name="_Toc7348"/>
      <w:bookmarkStart w:id="94" w:name="_Toc24126_WPSOffice_Level2"/>
      <w:r>
        <w:rPr>
          <w:rFonts w:hint="eastAsia" w:ascii="黑体" w:hAnsi="黑体" w:eastAsia="黑体" w:cs="黑体"/>
          <w:sz w:val="32"/>
          <w:szCs w:val="32"/>
        </w:rPr>
        <w:t>九、</w:t>
      </w:r>
      <w:r>
        <w:rPr>
          <w:rFonts w:hint="eastAsia" w:ascii="黑体" w:hAnsi="黑体" w:eastAsia="黑体" w:cs="黑体"/>
          <w:sz w:val="32"/>
          <w:szCs w:val="32"/>
          <w:lang w:eastAsia="zh-CN"/>
        </w:rPr>
        <w:t>2022</w:t>
      </w:r>
      <w:r>
        <w:rPr>
          <w:rFonts w:hint="eastAsia" w:ascii="黑体" w:hAnsi="黑体" w:eastAsia="黑体" w:cs="黑体"/>
          <w:sz w:val="32"/>
          <w:szCs w:val="32"/>
        </w:rPr>
        <w:t>年度国有资本经营预算财政拨款收入支出决算情况说明</w:t>
      </w:r>
      <w:bookmarkEnd w:id="90"/>
      <w:bookmarkEnd w:id="91"/>
      <w:bookmarkEnd w:id="92"/>
      <w:bookmarkEnd w:id="93"/>
      <w:bookmarkEnd w:id="94"/>
    </w:p>
    <w:p>
      <w:pPr>
        <w:pageBreakBefore w:val="0"/>
        <w:kinsoku/>
        <w:wordWrap/>
        <w:overflowPunct/>
        <w:topLinePunct w:val="0"/>
        <w:bidi w:val="0"/>
        <w:snapToGrid/>
        <w:spacing w:line="580" w:lineRule="exact"/>
        <w:ind w:firstLine="640" w:firstLineChars="200"/>
        <w:textAlignment w:val="auto"/>
        <w:rPr>
          <w:rFonts w:hint="eastAsia" w:ascii="仿宋_GB2312" w:eastAsia="仿宋_GB2312"/>
          <w:sz w:val="32"/>
          <w:szCs w:val="32"/>
          <w:highlight w:val="none"/>
        </w:rPr>
      </w:pPr>
      <w:r>
        <w:rPr>
          <w:rFonts w:hint="eastAsia" w:ascii="仿宋_GB2312" w:hAnsi="华文中宋" w:eastAsia="仿宋_GB2312"/>
          <w:sz w:val="32"/>
          <w:szCs w:val="32"/>
          <w:highlight w:val="none"/>
        </w:rPr>
        <w:t>（一）</w:t>
      </w:r>
      <w:r>
        <w:rPr>
          <w:rFonts w:hint="eastAsia" w:ascii="仿宋_GB2312" w:hAnsi="华文中宋"/>
          <w:sz w:val="32"/>
          <w:szCs w:val="32"/>
          <w:highlight w:val="none"/>
          <w:lang w:eastAsia="zh-CN"/>
        </w:rPr>
        <w:t>2022</w:t>
      </w:r>
      <w:r>
        <w:rPr>
          <w:rFonts w:hint="eastAsia" w:ascii="仿宋_GB2312" w:hAnsi="华文中宋" w:eastAsia="仿宋_GB2312"/>
          <w:sz w:val="32"/>
          <w:szCs w:val="32"/>
          <w:highlight w:val="none"/>
        </w:rPr>
        <w:t>年度国有资本经营预算财政拨款收入决算总额为</w:t>
      </w:r>
      <w:r>
        <w:rPr>
          <w:rFonts w:hint="eastAsia" w:ascii="仿宋_GB2312"/>
          <w:sz w:val="32"/>
          <w:szCs w:val="32"/>
          <w:highlight w:val="none"/>
          <w:lang w:val="en-US" w:eastAsia="zh-CN"/>
        </w:rPr>
        <w:t>0</w:t>
      </w:r>
      <w:r>
        <w:rPr>
          <w:rFonts w:hint="eastAsia" w:ascii="仿宋_GB2312" w:eastAsia="仿宋_GB2312"/>
          <w:sz w:val="32"/>
          <w:szCs w:val="32"/>
          <w:highlight w:val="none"/>
        </w:rPr>
        <w:t>万</w:t>
      </w:r>
      <w:r>
        <w:rPr>
          <w:rFonts w:hint="eastAsia" w:ascii="仿宋_GB2312" w:hAnsi="华文中宋" w:eastAsia="仿宋_GB2312"/>
          <w:sz w:val="32"/>
          <w:szCs w:val="32"/>
          <w:highlight w:val="none"/>
        </w:rPr>
        <w:t>元，与</w:t>
      </w:r>
      <w:r>
        <w:rPr>
          <w:rFonts w:hint="eastAsia" w:ascii="仿宋_GB2312" w:hAnsi="华文中宋"/>
          <w:sz w:val="32"/>
          <w:szCs w:val="32"/>
          <w:highlight w:val="none"/>
          <w:lang w:eastAsia="zh-CN"/>
        </w:rPr>
        <w:t>2021</w:t>
      </w:r>
      <w:r>
        <w:rPr>
          <w:rFonts w:hint="eastAsia" w:ascii="仿宋_GB2312" w:hAnsi="华文中宋" w:eastAsia="仿宋_GB2312"/>
          <w:sz w:val="32"/>
          <w:szCs w:val="32"/>
          <w:highlight w:val="none"/>
        </w:rPr>
        <w:t>年相比，</w:t>
      </w:r>
      <w:r>
        <w:rPr>
          <w:rFonts w:hint="eastAsia" w:ascii="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sz w:val="32"/>
          <w:szCs w:val="32"/>
          <w:highlight w:val="none"/>
          <w:lang w:val="en-US" w:eastAsia="zh-CN"/>
        </w:rPr>
        <w:t>0</w:t>
      </w:r>
      <w:r>
        <w:rPr>
          <w:rFonts w:hint="eastAsia" w:ascii="仿宋_GB2312" w:eastAsia="仿宋_GB2312"/>
          <w:sz w:val="32"/>
          <w:szCs w:val="32"/>
          <w:highlight w:val="none"/>
        </w:rPr>
        <w:t>%，主要原因是</w:t>
      </w:r>
      <w:r>
        <w:rPr>
          <w:rFonts w:hint="eastAsia" w:ascii="仿宋_GB2312"/>
          <w:sz w:val="32"/>
          <w:szCs w:val="32"/>
          <w:highlight w:val="none"/>
          <w:lang w:eastAsia="zh-CN"/>
        </w:rPr>
        <w:t>无国有资本经营预算财政拨款收入</w:t>
      </w:r>
      <w:r>
        <w:rPr>
          <w:rFonts w:hint="eastAsia" w:ascii="仿宋_GB2312" w:eastAsia="仿宋_GB2312"/>
          <w:sz w:val="32"/>
          <w:szCs w:val="32"/>
          <w:highlight w:val="none"/>
        </w:rPr>
        <w:t>。</w:t>
      </w:r>
    </w:p>
    <w:p>
      <w:pPr>
        <w:pageBreakBefore w:val="0"/>
        <w:kinsoku/>
        <w:wordWrap/>
        <w:overflowPunct/>
        <w:topLinePunct w:val="0"/>
        <w:bidi w:val="0"/>
        <w:snapToGrid/>
        <w:spacing w:line="58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（二）</w:t>
      </w:r>
      <w:r>
        <w:rPr>
          <w:rFonts w:hint="eastAsia" w:ascii="仿宋_GB2312"/>
          <w:sz w:val="32"/>
          <w:szCs w:val="32"/>
          <w:highlight w:val="none"/>
          <w:lang w:eastAsia="zh-CN"/>
        </w:rPr>
        <w:t>2022</w:t>
      </w:r>
      <w:r>
        <w:rPr>
          <w:rFonts w:hint="eastAsia" w:ascii="仿宋_GB2312" w:eastAsia="仿宋_GB2312"/>
          <w:sz w:val="32"/>
          <w:szCs w:val="32"/>
          <w:highlight w:val="none"/>
        </w:rPr>
        <w:t>年度</w:t>
      </w:r>
      <w:r>
        <w:rPr>
          <w:rFonts w:hint="eastAsia" w:ascii="仿宋_GB2312" w:hAnsi="华文中宋" w:eastAsia="仿宋_GB2312"/>
          <w:sz w:val="32"/>
          <w:szCs w:val="32"/>
          <w:highlight w:val="none"/>
        </w:rPr>
        <w:t>国有资本经营预算财政拨款</w:t>
      </w:r>
      <w:r>
        <w:rPr>
          <w:rFonts w:hint="eastAsia" w:ascii="仿宋_GB2312" w:hAnsi="华文中宋" w:eastAsia="仿宋_GB2312"/>
          <w:sz w:val="32"/>
          <w:szCs w:val="32"/>
          <w:highlight w:val="none"/>
          <w:lang w:eastAsia="zh-CN"/>
        </w:rPr>
        <w:t>支出</w:t>
      </w:r>
      <w:r>
        <w:rPr>
          <w:rFonts w:hint="eastAsia" w:ascii="仿宋_GB2312" w:eastAsia="仿宋_GB2312"/>
          <w:sz w:val="32"/>
          <w:szCs w:val="32"/>
          <w:highlight w:val="none"/>
        </w:rPr>
        <w:t>为</w:t>
      </w:r>
      <w:r>
        <w:rPr>
          <w:rFonts w:hint="eastAsia" w:ascii="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hAnsi="华文中宋" w:eastAsia="仿宋_GB2312"/>
          <w:sz w:val="32"/>
          <w:szCs w:val="32"/>
          <w:highlight w:val="none"/>
        </w:rPr>
        <w:t>与</w:t>
      </w:r>
      <w:r>
        <w:rPr>
          <w:rFonts w:hint="eastAsia" w:ascii="仿宋_GB2312" w:hAnsi="华文中宋"/>
          <w:sz w:val="32"/>
          <w:szCs w:val="32"/>
          <w:highlight w:val="none"/>
          <w:lang w:eastAsia="zh-CN"/>
        </w:rPr>
        <w:t>2021</w:t>
      </w:r>
      <w:r>
        <w:rPr>
          <w:rFonts w:hint="eastAsia" w:ascii="仿宋_GB2312" w:hAnsi="华文中宋" w:eastAsia="仿宋_GB2312"/>
          <w:sz w:val="32"/>
          <w:szCs w:val="32"/>
          <w:highlight w:val="none"/>
        </w:rPr>
        <w:t>年相比，</w:t>
      </w:r>
      <w:r>
        <w:rPr>
          <w:rFonts w:hint="eastAsia" w:ascii="仿宋_GB2312" w:eastAsia="仿宋_GB2312"/>
          <w:sz w:val="32"/>
          <w:szCs w:val="32"/>
          <w:highlight w:val="none"/>
        </w:rPr>
        <w:t>增加</w:t>
      </w:r>
      <w:r>
        <w:rPr>
          <w:rFonts w:hint="eastAsia" w:ascii="仿宋_GB2312"/>
          <w:sz w:val="32"/>
          <w:szCs w:val="32"/>
          <w:highlight w:val="none"/>
          <w:lang w:val="en-US" w:eastAsia="zh-CN"/>
        </w:rPr>
        <w:t>0</w:t>
      </w:r>
      <w:r>
        <w:rPr>
          <w:rFonts w:hint="eastAsia" w:ascii="仿宋_GB2312" w:eastAsia="仿宋_GB2312"/>
          <w:sz w:val="32"/>
          <w:szCs w:val="32"/>
          <w:highlight w:val="none"/>
        </w:rPr>
        <w:t>万元，增长(或降低)</w:t>
      </w:r>
      <w:r>
        <w:rPr>
          <w:rFonts w:hint="eastAsia" w:ascii="仿宋_GB2312"/>
          <w:sz w:val="32"/>
          <w:szCs w:val="32"/>
          <w:highlight w:val="none"/>
          <w:lang w:val="en-US" w:eastAsia="zh-CN"/>
        </w:rPr>
        <w:t>0</w:t>
      </w:r>
      <w:r>
        <w:rPr>
          <w:rFonts w:hint="eastAsia" w:ascii="仿宋_GB2312" w:eastAsia="仿宋_GB2312"/>
          <w:sz w:val="32"/>
          <w:szCs w:val="32"/>
          <w:highlight w:val="none"/>
        </w:rPr>
        <w:t>%，主要原因是</w:t>
      </w:r>
      <w:r>
        <w:rPr>
          <w:rFonts w:hint="eastAsia" w:ascii="仿宋_GB2312"/>
          <w:sz w:val="32"/>
          <w:szCs w:val="32"/>
          <w:highlight w:val="none"/>
          <w:lang w:eastAsia="zh-CN"/>
        </w:rPr>
        <w:t>无国有资本经营预算财政拨款支出</w:t>
      </w:r>
      <w:r>
        <w:rPr>
          <w:rFonts w:hint="eastAsia" w:ascii="仿宋_GB2312" w:eastAsia="仿宋_GB2312"/>
          <w:sz w:val="32"/>
          <w:szCs w:val="32"/>
          <w:highlight w:val="none"/>
        </w:rPr>
        <w:t>。其中：</w:t>
      </w:r>
    </w:p>
    <w:p>
      <w:pPr>
        <w:pStyle w:val="3"/>
        <w:pageBreakBefore w:val="0"/>
        <w:kinsoku/>
        <w:wordWrap/>
        <w:overflowPunct/>
        <w:topLinePunct w:val="0"/>
        <w:bidi w:val="0"/>
        <w:snapToGrid/>
        <w:spacing w:before="0" w:beforeLines="0" w:after="0" w:afterLines="0" w:line="580" w:lineRule="exact"/>
        <w:textAlignment w:val="auto"/>
        <w:outlineLvl w:val="1"/>
        <w:rPr>
          <w:rFonts w:hint="eastAsia" w:ascii="黑体" w:hAnsi="黑体" w:eastAsia="黑体" w:cs="黑体"/>
          <w:sz w:val="32"/>
          <w:szCs w:val="32"/>
        </w:rPr>
      </w:pPr>
      <w:bookmarkStart w:id="95" w:name="_Toc20599_WPSOffice_Level2"/>
      <w:bookmarkStart w:id="96" w:name="_Toc19107_WPSOffice_Level2"/>
      <w:bookmarkStart w:id="97" w:name="_Toc28569"/>
      <w:bookmarkStart w:id="98" w:name="_Toc9764"/>
      <w:bookmarkStart w:id="99" w:name="_Toc18276_WPSOffice_Level2"/>
      <w:r>
        <w:rPr>
          <w:rFonts w:hint="eastAsia" w:ascii="黑体" w:hAnsi="黑体" w:eastAsia="黑体" w:cs="黑体"/>
          <w:sz w:val="32"/>
          <w:szCs w:val="32"/>
        </w:rPr>
        <w:t>十、</w:t>
      </w:r>
      <w:r>
        <w:rPr>
          <w:rFonts w:hint="eastAsia" w:ascii="黑体" w:hAnsi="黑体" w:eastAsia="黑体" w:cs="黑体"/>
          <w:sz w:val="32"/>
          <w:szCs w:val="32"/>
          <w:lang w:eastAsia="zh-CN"/>
        </w:rPr>
        <w:t>2022</w:t>
      </w:r>
      <w:r>
        <w:rPr>
          <w:rFonts w:hint="eastAsia" w:ascii="黑体" w:hAnsi="黑体" w:eastAsia="黑体" w:cs="黑体"/>
          <w:sz w:val="32"/>
          <w:szCs w:val="32"/>
        </w:rPr>
        <w:t>年度非财政拨款收支决算情况说明</w:t>
      </w:r>
      <w:bookmarkEnd w:id="95"/>
      <w:bookmarkEnd w:id="96"/>
      <w:bookmarkEnd w:id="97"/>
      <w:bookmarkEnd w:id="98"/>
      <w:bookmarkEnd w:id="99"/>
    </w:p>
    <w:p>
      <w:pPr>
        <w:pageBreakBefore w:val="0"/>
        <w:kinsoku/>
        <w:wordWrap/>
        <w:overflowPunct/>
        <w:topLinePunct w:val="0"/>
        <w:bidi w:val="0"/>
        <w:snapToGrid/>
        <w:spacing w:line="58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sz w:val="32"/>
          <w:szCs w:val="32"/>
          <w:highlight w:val="none"/>
          <w:lang w:eastAsia="zh-CN"/>
        </w:rPr>
        <w:t>2022</w:t>
      </w:r>
      <w:r>
        <w:rPr>
          <w:rFonts w:hint="eastAsia" w:ascii="仿宋_GB2312" w:eastAsia="仿宋_GB2312"/>
          <w:sz w:val="32"/>
          <w:szCs w:val="32"/>
          <w:highlight w:val="none"/>
        </w:rPr>
        <w:t>年度非财政拨款收入决算总额</w:t>
      </w:r>
      <w:r>
        <w:rPr>
          <w:rFonts w:hint="eastAsia" w:ascii="仿宋_GB2312"/>
          <w:sz w:val="32"/>
          <w:szCs w:val="32"/>
          <w:highlight w:val="none"/>
          <w:lang w:val="en-US" w:eastAsia="zh-CN"/>
        </w:rPr>
        <w:t>0</w:t>
      </w:r>
      <w:r>
        <w:rPr>
          <w:rFonts w:hint="eastAsia" w:ascii="仿宋_GB2312" w:eastAsia="仿宋_GB2312"/>
          <w:sz w:val="32"/>
          <w:szCs w:val="32"/>
          <w:highlight w:val="none"/>
        </w:rPr>
        <w:t>万元，其中：事业收入</w:t>
      </w:r>
      <w:r>
        <w:rPr>
          <w:rFonts w:hint="eastAsia" w:ascii="仿宋_GB2312"/>
          <w:sz w:val="32"/>
          <w:szCs w:val="32"/>
          <w:highlight w:val="none"/>
          <w:lang w:val="en-US" w:eastAsia="zh-CN"/>
        </w:rPr>
        <w:t>0</w:t>
      </w:r>
      <w:r>
        <w:rPr>
          <w:rFonts w:hint="eastAsia" w:ascii="仿宋_GB2312" w:eastAsia="仿宋_GB2312"/>
          <w:sz w:val="32"/>
          <w:szCs w:val="32"/>
          <w:highlight w:val="none"/>
        </w:rPr>
        <w:t>万元，经营收入</w:t>
      </w:r>
      <w:r>
        <w:rPr>
          <w:rFonts w:hint="eastAsia" w:ascii="仿宋_GB2312"/>
          <w:sz w:val="32"/>
          <w:szCs w:val="32"/>
          <w:highlight w:val="none"/>
          <w:lang w:val="en-US" w:eastAsia="zh-CN"/>
        </w:rPr>
        <w:t>0</w:t>
      </w:r>
      <w:r>
        <w:rPr>
          <w:rFonts w:hint="eastAsia" w:ascii="仿宋_GB2312" w:eastAsia="仿宋_GB2312"/>
          <w:sz w:val="32"/>
          <w:szCs w:val="32"/>
          <w:highlight w:val="none"/>
        </w:rPr>
        <w:t>万元，其他收入</w:t>
      </w:r>
      <w:r>
        <w:rPr>
          <w:rFonts w:hint="eastAsia" w:ascii="仿宋_GB2312"/>
          <w:sz w:val="32"/>
          <w:szCs w:val="32"/>
          <w:highlight w:val="none"/>
          <w:lang w:val="en-US" w:eastAsia="zh-CN"/>
        </w:rPr>
        <w:t>0</w:t>
      </w:r>
      <w:r>
        <w:rPr>
          <w:rFonts w:hint="eastAsia" w:ascii="仿宋_GB2312" w:eastAsia="仿宋_GB2312"/>
          <w:sz w:val="32"/>
          <w:szCs w:val="32"/>
          <w:highlight w:val="none"/>
        </w:rPr>
        <w:t xml:space="preserve"> 万元。非财政拨款支出决算总额</w:t>
      </w:r>
      <w:r>
        <w:rPr>
          <w:rFonts w:hint="eastAsia" w:ascii="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sz w:val="32"/>
          <w:szCs w:val="32"/>
          <w:highlight w:val="none"/>
          <w:lang w:eastAsia="zh-CN"/>
        </w:rPr>
        <w:t>。</w:t>
      </w:r>
    </w:p>
    <w:p>
      <w:pPr>
        <w:pStyle w:val="3"/>
        <w:pageBreakBefore w:val="0"/>
        <w:kinsoku/>
        <w:wordWrap/>
        <w:overflowPunct/>
        <w:topLinePunct w:val="0"/>
        <w:bidi w:val="0"/>
        <w:snapToGrid/>
        <w:spacing w:before="0" w:beforeLines="0" w:after="0" w:afterLines="0" w:line="580" w:lineRule="exact"/>
        <w:textAlignment w:val="auto"/>
        <w:outlineLvl w:val="1"/>
        <w:rPr>
          <w:rFonts w:hint="eastAsia" w:ascii="黑体" w:hAnsi="黑体" w:eastAsia="黑体" w:cs="黑体"/>
          <w:sz w:val="32"/>
          <w:szCs w:val="32"/>
        </w:rPr>
      </w:pPr>
      <w:bookmarkStart w:id="100" w:name="_Toc27724_WPSOffice_Level2"/>
      <w:bookmarkStart w:id="101" w:name="_Toc17778"/>
      <w:bookmarkStart w:id="102" w:name="_Toc24202"/>
      <w:r>
        <w:rPr>
          <w:rFonts w:hint="eastAsia" w:ascii="黑体" w:hAnsi="黑体" w:eastAsia="黑体" w:cs="黑体"/>
          <w:sz w:val="32"/>
          <w:szCs w:val="32"/>
          <w:lang w:eastAsia="zh-CN"/>
        </w:rPr>
        <w:t>十一、2022</w:t>
      </w:r>
      <w:r>
        <w:rPr>
          <w:rFonts w:hint="eastAsia" w:ascii="黑体" w:hAnsi="黑体" w:eastAsia="黑体" w:cs="黑体"/>
          <w:sz w:val="32"/>
          <w:szCs w:val="32"/>
        </w:rPr>
        <w:t>年度机关运行经费支出情况说明</w:t>
      </w:r>
      <w:bookmarkEnd w:id="100"/>
      <w:bookmarkEnd w:id="101"/>
      <w:bookmarkEnd w:id="102"/>
    </w:p>
    <w:p>
      <w:pPr>
        <w:pageBreakBefore w:val="0"/>
        <w:kinsoku/>
        <w:wordWrap/>
        <w:overflowPunct/>
        <w:topLinePunct w:val="0"/>
        <w:bidi w:val="0"/>
        <w:snapToGrid/>
        <w:spacing w:line="58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本部门</w:t>
      </w:r>
      <w:r>
        <w:rPr>
          <w:rFonts w:hint="eastAsia" w:ascii="仿宋_GB2312"/>
          <w:sz w:val="32"/>
          <w:szCs w:val="32"/>
          <w:highlight w:val="none"/>
          <w:lang w:eastAsia="zh-CN"/>
        </w:rPr>
        <w:t>2022</w:t>
      </w:r>
      <w:r>
        <w:rPr>
          <w:rFonts w:hint="eastAsia" w:ascii="仿宋_GB2312" w:eastAsia="仿宋_GB2312"/>
          <w:sz w:val="32"/>
          <w:szCs w:val="32"/>
          <w:highlight w:val="none"/>
        </w:rPr>
        <w:t>年度机关运行经费支出</w:t>
      </w:r>
      <w:r>
        <w:rPr>
          <w:rFonts w:hint="eastAsia" w:ascii="仿宋_GB2312"/>
          <w:sz w:val="32"/>
          <w:szCs w:val="32"/>
          <w:highlight w:val="none"/>
          <w:lang w:val="en-US" w:eastAsia="zh-CN"/>
        </w:rPr>
        <w:t>89.51</w:t>
      </w:r>
      <w:r>
        <w:rPr>
          <w:rFonts w:hint="eastAsia" w:ascii="仿宋_GB2312" w:eastAsia="仿宋_GB2312"/>
          <w:sz w:val="32"/>
          <w:szCs w:val="32"/>
          <w:highlight w:val="none"/>
        </w:rPr>
        <w:t>万元，比年初预算减少</w:t>
      </w:r>
      <w:r>
        <w:rPr>
          <w:rFonts w:hint="eastAsia" w:ascii="仿宋_GB2312"/>
          <w:sz w:val="32"/>
          <w:szCs w:val="32"/>
          <w:highlight w:val="none"/>
          <w:lang w:val="en-US" w:eastAsia="zh-CN"/>
        </w:rPr>
        <w:t>6.38</w:t>
      </w:r>
      <w:r>
        <w:rPr>
          <w:rFonts w:hint="eastAsia" w:ascii="仿宋_GB2312" w:eastAsia="仿宋_GB2312"/>
          <w:sz w:val="32"/>
          <w:szCs w:val="32"/>
          <w:highlight w:val="none"/>
        </w:rPr>
        <w:t>万元，降低</w:t>
      </w:r>
      <w:r>
        <w:rPr>
          <w:rFonts w:hint="eastAsia" w:ascii="仿宋_GB2312"/>
          <w:sz w:val="32"/>
          <w:szCs w:val="32"/>
          <w:highlight w:val="none"/>
          <w:lang w:val="en-US" w:eastAsia="zh-CN"/>
        </w:rPr>
        <w:t>6.65</w:t>
      </w:r>
      <w:r>
        <w:rPr>
          <w:rFonts w:hint="eastAsia" w:ascii="仿宋_GB2312" w:eastAsia="仿宋_GB2312"/>
          <w:sz w:val="32"/>
          <w:szCs w:val="32"/>
          <w:highlight w:val="none"/>
        </w:rPr>
        <w:t>%，主要原因是</w:t>
      </w:r>
      <w:r>
        <w:rPr>
          <w:rFonts w:hint="eastAsia" w:ascii="仿宋_GB2312"/>
          <w:sz w:val="32"/>
          <w:szCs w:val="32"/>
          <w:highlight w:val="none"/>
          <w:lang w:eastAsia="zh-CN"/>
        </w:rPr>
        <w:t>办公经费及其他交通费用支出减少</w:t>
      </w:r>
      <w:r>
        <w:rPr>
          <w:rFonts w:hint="eastAsia" w:ascii="仿宋_GB2312" w:eastAsia="仿宋_GB2312"/>
          <w:sz w:val="32"/>
          <w:szCs w:val="32"/>
          <w:highlight w:val="none"/>
        </w:rPr>
        <w:t>。与</w:t>
      </w:r>
      <w:r>
        <w:rPr>
          <w:rFonts w:hint="eastAsia" w:ascii="仿宋_GB2312"/>
          <w:sz w:val="32"/>
          <w:szCs w:val="32"/>
          <w:highlight w:val="none"/>
          <w:lang w:eastAsia="zh-CN"/>
        </w:rPr>
        <w:t>2021</w:t>
      </w:r>
      <w:r>
        <w:rPr>
          <w:rFonts w:hint="eastAsia" w:ascii="仿宋_GB2312" w:eastAsia="仿宋_GB2312"/>
          <w:sz w:val="32"/>
          <w:szCs w:val="32"/>
          <w:highlight w:val="none"/>
        </w:rPr>
        <w:t>年相比，减少</w:t>
      </w:r>
      <w:r>
        <w:rPr>
          <w:rFonts w:hint="eastAsia" w:ascii="仿宋_GB2312"/>
          <w:sz w:val="32"/>
          <w:szCs w:val="32"/>
          <w:highlight w:val="none"/>
          <w:lang w:val="en-US" w:eastAsia="zh-CN"/>
        </w:rPr>
        <w:t>36.87</w:t>
      </w:r>
      <w:r>
        <w:rPr>
          <w:rFonts w:hint="eastAsia" w:ascii="仿宋_GB2312" w:eastAsia="仿宋_GB2312"/>
          <w:sz w:val="32"/>
          <w:szCs w:val="32"/>
          <w:highlight w:val="none"/>
        </w:rPr>
        <w:t>万元，降低</w:t>
      </w:r>
      <w:r>
        <w:rPr>
          <w:rFonts w:hint="eastAsia" w:ascii="仿宋_GB2312"/>
          <w:sz w:val="32"/>
          <w:szCs w:val="32"/>
          <w:highlight w:val="none"/>
          <w:lang w:val="en-US" w:eastAsia="zh-CN"/>
        </w:rPr>
        <w:t>29.17</w:t>
      </w:r>
      <w:r>
        <w:rPr>
          <w:rFonts w:hint="eastAsia" w:ascii="仿宋_GB2312" w:eastAsia="仿宋_GB2312"/>
          <w:sz w:val="32"/>
          <w:szCs w:val="32"/>
          <w:highlight w:val="none"/>
        </w:rPr>
        <w:t xml:space="preserve"> %，主要原因是2021村级公用经费列入公用经费，2022年列入项目经费，造成2022年公用经费对比2021年减少</w:t>
      </w:r>
      <w:r>
        <w:rPr>
          <w:rFonts w:hint="eastAsia" w:ascii="仿宋_GB2312"/>
          <w:sz w:val="32"/>
          <w:szCs w:val="32"/>
          <w:highlight w:val="none"/>
          <w:lang w:eastAsia="zh-CN"/>
        </w:rPr>
        <w:t>。</w:t>
      </w:r>
    </w:p>
    <w:p>
      <w:pPr>
        <w:pStyle w:val="3"/>
        <w:pageBreakBefore w:val="0"/>
        <w:kinsoku/>
        <w:wordWrap/>
        <w:overflowPunct/>
        <w:topLinePunct w:val="0"/>
        <w:bidi w:val="0"/>
        <w:snapToGrid/>
        <w:spacing w:before="0" w:beforeLines="0" w:after="0" w:afterLines="0" w:line="580" w:lineRule="exact"/>
        <w:textAlignment w:val="auto"/>
        <w:outlineLvl w:val="1"/>
        <w:rPr>
          <w:rFonts w:hint="eastAsia" w:ascii="黑体" w:hAnsi="黑体" w:eastAsia="黑体" w:cs="黑体"/>
          <w:sz w:val="32"/>
          <w:szCs w:val="32"/>
          <w:lang w:val="en-US" w:eastAsia="zh-CN"/>
        </w:rPr>
      </w:pPr>
      <w:bookmarkStart w:id="103" w:name="_Toc1864"/>
      <w:bookmarkStart w:id="104" w:name="_Toc549_WPSOffice_Level2"/>
      <w:bookmarkStart w:id="105" w:name="_Toc5192"/>
      <w:r>
        <w:rPr>
          <w:rFonts w:hint="eastAsia" w:ascii="黑体" w:hAnsi="黑体" w:eastAsia="黑体" w:cs="黑体"/>
          <w:sz w:val="32"/>
          <w:szCs w:val="32"/>
          <w:lang w:val="en-US" w:eastAsia="zh-CN"/>
        </w:rPr>
        <w:t>十二、2022年度政府采购支出情况说明</w:t>
      </w:r>
      <w:bookmarkEnd w:id="103"/>
      <w:bookmarkEnd w:id="104"/>
      <w:bookmarkEnd w:id="105"/>
    </w:p>
    <w:p>
      <w:pPr>
        <w:pageBreakBefore w:val="0"/>
        <w:kinsoku/>
        <w:wordWrap/>
        <w:overflowPunct/>
        <w:topLinePunct w:val="0"/>
        <w:bidi w:val="0"/>
        <w:snapToGrid/>
        <w:spacing w:line="58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本部门</w:t>
      </w:r>
      <w:r>
        <w:rPr>
          <w:rFonts w:hint="eastAsia" w:ascii="仿宋_GB2312"/>
          <w:sz w:val="32"/>
          <w:szCs w:val="32"/>
          <w:highlight w:val="none"/>
          <w:lang w:eastAsia="zh-CN"/>
        </w:rPr>
        <w:t>2022</w:t>
      </w:r>
      <w:r>
        <w:rPr>
          <w:rFonts w:hint="eastAsia" w:ascii="仿宋_GB2312" w:eastAsia="仿宋_GB2312"/>
          <w:sz w:val="32"/>
          <w:szCs w:val="32"/>
          <w:highlight w:val="none"/>
        </w:rPr>
        <w:t>年度政府采购支出总额</w:t>
      </w:r>
      <w:r>
        <w:rPr>
          <w:rFonts w:hint="eastAsia" w:ascii="仿宋_GB2312"/>
          <w:sz w:val="32"/>
          <w:szCs w:val="32"/>
          <w:highlight w:val="none"/>
          <w:lang w:val="en-US" w:eastAsia="zh-CN"/>
        </w:rPr>
        <w:t>0</w:t>
      </w:r>
      <w:r>
        <w:rPr>
          <w:rFonts w:hint="eastAsia" w:ascii="仿宋_GB2312" w:eastAsia="仿宋_GB2312"/>
          <w:sz w:val="32"/>
          <w:szCs w:val="32"/>
          <w:highlight w:val="none"/>
        </w:rPr>
        <w:t>万元，其中：政府采购货物支出</w:t>
      </w:r>
      <w:r>
        <w:rPr>
          <w:rFonts w:hint="eastAsia" w:ascii="仿宋_GB2312"/>
          <w:sz w:val="32"/>
          <w:szCs w:val="32"/>
          <w:highlight w:val="none"/>
          <w:lang w:val="en-US" w:eastAsia="zh-CN"/>
        </w:rPr>
        <w:t>0</w:t>
      </w:r>
      <w:r>
        <w:rPr>
          <w:rFonts w:hint="eastAsia" w:ascii="仿宋_GB2312" w:eastAsia="仿宋_GB2312"/>
          <w:sz w:val="32"/>
          <w:szCs w:val="32"/>
          <w:highlight w:val="none"/>
        </w:rPr>
        <w:t>万元、政府采购工程支出</w:t>
      </w:r>
      <w:r>
        <w:rPr>
          <w:rFonts w:hint="eastAsia" w:ascii="仿宋_GB2312"/>
          <w:sz w:val="32"/>
          <w:szCs w:val="32"/>
          <w:highlight w:val="none"/>
          <w:lang w:val="en-US" w:eastAsia="zh-CN"/>
        </w:rPr>
        <w:t>0</w:t>
      </w:r>
      <w:r>
        <w:rPr>
          <w:rFonts w:hint="eastAsia" w:ascii="仿宋_GB2312" w:eastAsia="仿宋_GB2312"/>
          <w:sz w:val="32"/>
          <w:szCs w:val="32"/>
          <w:highlight w:val="none"/>
        </w:rPr>
        <w:t>万元、政府采购服务支出</w:t>
      </w:r>
      <w:r>
        <w:rPr>
          <w:rFonts w:hint="eastAsia" w:ascii="仿宋_GB2312"/>
          <w:sz w:val="32"/>
          <w:szCs w:val="32"/>
          <w:highlight w:val="none"/>
          <w:lang w:val="en-US" w:eastAsia="zh-CN"/>
        </w:rPr>
        <w:t>0</w:t>
      </w:r>
      <w:r>
        <w:rPr>
          <w:rFonts w:hint="eastAsia" w:ascii="仿宋_GB2312" w:eastAsia="仿宋_GB2312"/>
          <w:sz w:val="32"/>
          <w:szCs w:val="32"/>
          <w:highlight w:val="none"/>
        </w:rPr>
        <w:t>万元。授予中小企业合同金额</w:t>
      </w:r>
      <w:r>
        <w:rPr>
          <w:rFonts w:hint="eastAsia" w:ascii="仿宋_GB2312"/>
          <w:sz w:val="32"/>
          <w:szCs w:val="32"/>
          <w:highlight w:val="none"/>
          <w:lang w:val="en-US" w:eastAsia="zh-CN"/>
        </w:rPr>
        <w:t>0</w:t>
      </w:r>
      <w:r>
        <w:rPr>
          <w:rFonts w:hint="eastAsia" w:ascii="仿宋_GB2312" w:eastAsia="仿宋_GB2312"/>
          <w:sz w:val="32"/>
          <w:szCs w:val="32"/>
          <w:highlight w:val="none"/>
        </w:rPr>
        <w:t>万元，占政府采购支出总额的</w:t>
      </w:r>
      <w:r>
        <w:rPr>
          <w:rFonts w:hint="eastAsia" w:ascii="仿宋_GB2312"/>
          <w:sz w:val="32"/>
          <w:szCs w:val="32"/>
          <w:highlight w:val="none"/>
          <w:lang w:val="en-US" w:eastAsia="zh-CN"/>
        </w:rPr>
        <w:t>0</w:t>
      </w:r>
      <w:r>
        <w:rPr>
          <w:rFonts w:hint="eastAsia" w:ascii="仿宋_GB2312" w:eastAsia="仿宋_GB2312"/>
          <w:sz w:val="32"/>
          <w:szCs w:val="32"/>
          <w:highlight w:val="none"/>
        </w:rPr>
        <w:t>%，其中：授予小微企业合同金额</w:t>
      </w:r>
      <w:r>
        <w:rPr>
          <w:rFonts w:hint="eastAsia" w:ascii="仿宋_GB2312"/>
          <w:sz w:val="32"/>
          <w:szCs w:val="32"/>
          <w:highlight w:val="none"/>
          <w:lang w:val="en-US" w:eastAsia="zh-CN"/>
        </w:rPr>
        <w:t>0</w:t>
      </w:r>
      <w:r>
        <w:rPr>
          <w:rFonts w:hint="eastAsia" w:ascii="仿宋_GB2312" w:eastAsia="仿宋_GB2312"/>
          <w:sz w:val="32"/>
          <w:szCs w:val="32"/>
          <w:highlight w:val="none"/>
        </w:rPr>
        <w:t>万元，占政府采购支出总额的</w:t>
      </w:r>
      <w:r>
        <w:rPr>
          <w:rFonts w:hint="eastAsia" w:ascii="仿宋_GB2312"/>
          <w:sz w:val="32"/>
          <w:szCs w:val="32"/>
          <w:highlight w:val="none"/>
          <w:lang w:val="en-US" w:eastAsia="zh-CN"/>
        </w:rPr>
        <w:t>0</w:t>
      </w:r>
      <w:r>
        <w:rPr>
          <w:rFonts w:hint="eastAsia" w:ascii="仿宋_GB2312" w:eastAsia="仿宋_GB2312"/>
          <w:sz w:val="32"/>
          <w:szCs w:val="32"/>
          <w:highlight w:val="none"/>
        </w:rPr>
        <w:t>%。</w:t>
      </w:r>
    </w:p>
    <w:p>
      <w:pPr>
        <w:pStyle w:val="3"/>
        <w:pageBreakBefore w:val="0"/>
        <w:kinsoku/>
        <w:wordWrap/>
        <w:overflowPunct/>
        <w:topLinePunct w:val="0"/>
        <w:bidi w:val="0"/>
        <w:snapToGrid/>
        <w:spacing w:before="0" w:beforeLines="0" w:after="0" w:afterLines="0" w:line="580" w:lineRule="exact"/>
        <w:textAlignment w:val="auto"/>
        <w:outlineLvl w:val="1"/>
        <w:rPr>
          <w:rFonts w:hint="eastAsia" w:ascii="黑体" w:hAnsi="黑体" w:eastAsia="黑体" w:cs="黑体"/>
          <w:sz w:val="32"/>
          <w:szCs w:val="32"/>
          <w:lang w:val="en-US" w:eastAsia="zh-CN"/>
        </w:rPr>
      </w:pPr>
      <w:bookmarkStart w:id="106" w:name="_Toc8025_WPSOffice_Level2"/>
      <w:bookmarkStart w:id="107" w:name="_Toc26385"/>
      <w:bookmarkStart w:id="108" w:name="_Toc5882"/>
      <w:r>
        <w:rPr>
          <w:rFonts w:hint="eastAsia" w:ascii="黑体" w:hAnsi="黑体" w:eastAsia="黑体" w:cs="黑体"/>
          <w:sz w:val="32"/>
          <w:szCs w:val="32"/>
          <w:lang w:val="en-US" w:eastAsia="zh-CN"/>
        </w:rPr>
        <w:t>十三、2022年度国有资产占用情况说明</w:t>
      </w:r>
      <w:bookmarkEnd w:id="106"/>
      <w:bookmarkEnd w:id="107"/>
      <w:bookmarkEnd w:id="108"/>
    </w:p>
    <w:p>
      <w:pPr>
        <w:pageBreakBefore w:val="0"/>
        <w:kinsoku/>
        <w:wordWrap/>
        <w:overflowPunct/>
        <w:topLinePunct w:val="0"/>
        <w:bidi w:val="0"/>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截至</w:t>
      </w:r>
      <w:r>
        <w:rPr>
          <w:rFonts w:hint="eastAsia" w:ascii="仿宋_GB2312"/>
          <w:sz w:val="32"/>
          <w:szCs w:val="32"/>
          <w:lang w:eastAsia="zh-CN"/>
        </w:rPr>
        <w:t>2022</w:t>
      </w:r>
      <w:r>
        <w:rPr>
          <w:rFonts w:hint="eastAsia" w:ascii="仿宋_GB2312" w:eastAsia="仿宋_GB2312"/>
          <w:sz w:val="32"/>
          <w:szCs w:val="32"/>
        </w:rPr>
        <w:t>年12月31日</w:t>
      </w:r>
      <w:r>
        <w:rPr>
          <w:rFonts w:hint="eastAsia" w:ascii="仿宋_GB2312" w:eastAsia="仿宋_GB2312"/>
          <w:sz w:val="32"/>
          <w:szCs w:val="32"/>
          <w:highlight w:val="none"/>
        </w:rPr>
        <w:t>，本部门（单位）共有车辆</w:t>
      </w:r>
      <w:r>
        <w:rPr>
          <w:rFonts w:hint="eastAsia" w:ascii="仿宋_GB2312"/>
          <w:sz w:val="32"/>
          <w:szCs w:val="32"/>
          <w:highlight w:val="none"/>
          <w:lang w:val="en-US" w:eastAsia="zh-CN"/>
        </w:rPr>
        <w:t>5</w:t>
      </w:r>
      <w:r>
        <w:rPr>
          <w:rFonts w:hint="eastAsia" w:ascii="仿宋_GB2312" w:eastAsia="仿宋_GB2312"/>
          <w:sz w:val="32"/>
          <w:szCs w:val="32"/>
          <w:highlight w:val="none"/>
        </w:rPr>
        <w:t>辆，其</w:t>
      </w:r>
      <w:r>
        <w:rPr>
          <w:rFonts w:hint="eastAsia" w:ascii="仿宋_GB2312" w:eastAsia="仿宋_GB2312"/>
          <w:sz w:val="32"/>
          <w:szCs w:val="32"/>
        </w:rPr>
        <w:t>中</w:t>
      </w:r>
      <w:r>
        <w:rPr>
          <w:rFonts w:hint="eastAsia" w:ascii="仿宋_GB2312" w:eastAsia="仿宋_GB2312"/>
          <w:sz w:val="32"/>
          <w:szCs w:val="32"/>
          <w:highlight w:val="none"/>
        </w:rPr>
        <w:t>，副部（省）级及以上领导用车</w:t>
      </w:r>
      <w:r>
        <w:rPr>
          <w:rFonts w:hint="eastAsia" w:ascii="仿宋_GB2312"/>
          <w:sz w:val="32"/>
          <w:szCs w:val="32"/>
          <w:highlight w:val="none"/>
          <w:lang w:val="en-US" w:eastAsia="zh-CN"/>
        </w:rPr>
        <w:t>0</w:t>
      </w:r>
      <w:r>
        <w:rPr>
          <w:rFonts w:hint="eastAsia" w:ascii="仿宋_GB2312" w:eastAsia="仿宋_GB2312"/>
          <w:sz w:val="32"/>
          <w:szCs w:val="32"/>
          <w:highlight w:val="none"/>
        </w:rPr>
        <w:t>辆、主要领导干部用车</w:t>
      </w:r>
      <w:r>
        <w:rPr>
          <w:rFonts w:hint="eastAsia" w:ascii="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sz w:val="32"/>
          <w:szCs w:val="32"/>
          <w:highlight w:val="none"/>
          <w:lang w:val="en-US" w:eastAsia="zh-CN"/>
        </w:rPr>
        <w:t>3</w:t>
      </w:r>
      <w:r>
        <w:rPr>
          <w:rFonts w:hint="eastAsia" w:ascii="仿宋_GB2312" w:eastAsia="仿宋_GB2312"/>
          <w:sz w:val="32"/>
          <w:szCs w:val="32"/>
          <w:highlight w:val="none"/>
        </w:rPr>
        <w:t>辆、执法执勤用车</w:t>
      </w:r>
      <w:r>
        <w:rPr>
          <w:rFonts w:hint="eastAsia" w:ascii="仿宋_GB2312"/>
          <w:sz w:val="32"/>
          <w:szCs w:val="32"/>
          <w:highlight w:val="none"/>
          <w:lang w:val="en-US" w:eastAsia="zh-CN"/>
        </w:rPr>
        <w:t>0</w:t>
      </w:r>
      <w:r>
        <w:rPr>
          <w:rFonts w:hint="eastAsia" w:ascii="仿宋_GB2312" w:eastAsia="仿宋_GB2312"/>
          <w:sz w:val="32"/>
          <w:szCs w:val="32"/>
          <w:highlight w:val="none"/>
        </w:rPr>
        <w:t>辆、特种专业技术用车</w:t>
      </w:r>
      <w:r>
        <w:rPr>
          <w:rFonts w:hint="eastAsia" w:ascii="仿宋_GB2312"/>
          <w:sz w:val="32"/>
          <w:szCs w:val="32"/>
          <w:highlight w:val="none"/>
          <w:lang w:val="en-US" w:eastAsia="zh-CN"/>
        </w:rPr>
        <w:t>0</w:t>
      </w:r>
      <w:r>
        <w:rPr>
          <w:rFonts w:hint="eastAsia" w:ascii="仿宋_GB2312" w:eastAsia="仿宋_GB2312"/>
          <w:sz w:val="32"/>
          <w:szCs w:val="32"/>
          <w:highlight w:val="none"/>
        </w:rPr>
        <w:t>辆、离退休干部用车</w:t>
      </w:r>
      <w:r>
        <w:rPr>
          <w:rFonts w:hint="eastAsia" w:ascii="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sz w:val="32"/>
          <w:szCs w:val="32"/>
          <w:highlight w:val="none"/>
          <w:lang w:val="en-US" w:eastAsia="zh-CN"/>
        </w:rPr>
        <w:t>2</w:t>
      </w:r>
      <w:r>
        <w:rPr>
          <w:rFonts w:hint="eastAsia" w:ascii="仿宋_GB2312" w:eastAsia="仿宋_GB2312"/>
          <w:sz w:val="32"/>
          <w:szCs w:val="32"/>
          <w:highlight w:val="none"/>
        </w:rPr>
        <w:t>辆，其他用车主要是</w:t>
      </w:r>
      <w:r>
        <w:rPr>
          <w:rFonts w:hint="eastAsia" w:ascii="仿宋_GB2312"/>
          <w:sz w:val="32"/>
          <w:szCs w:val="32"/>
          <w:highlight w:val="none"/>
          <w:lang w:eastAsia="zh-CN"/>
        </w:rPr>
        <w:t>环卫用车、消防车，农业用车</w:t>
      </w:r>
      <w:r>
        <w:rPr>
          <w:rFonts w:hint="eastAsia" w:ascii="仿宋_GB2312" w:eastAsia="仿宋_GB2312"/>
          <w:sz w:val="32"/>
          <w:szCs w:val="32"/>
          <w:highlight w:val="none"/>
        </w:rPr>
        <w:t>；单位价值100万元（含）以上的设备</w:t>
      </w:r>
      <w:r>
        <w:rPr>
          <w:rFonts w:hint="eastAsia" w:ascii="仿宋_GB2312"/>
          <w:sz w:val="32"/>
          <w:szCs w:val="32"/>
          <w:highlight w:val="none"/>
          <w:lang w:eastAsia="zh-CN"/>
        </w:rPr>
        <w:t>（不含车辆）</w:t>
      </w:r>
      <w:r>
        <w:rPr>
          <w:rFonts w:hint="eastAsia" w:ascii="仿宋_GB2312"/>
          <w:sz w:val="32"/>
          <w:szCs w:val="32"/>
          <w:highlight w:val="none"/>
          <w:lang w:val="en-US" w:eastAsia="zh-CN"/>
        </w:rPr>
        <w:t>0</w:t>
      </w:r>
      <w:r>
        <w:rPr>
          <w:rFonts w:hint="eastAsia" w:ascii="仿宋_GB2312" w:eastAsia="仿宋_GB2312"/>
          <w:sz w:val="32"/>
          <w:szCs w:val="32"/>
          <w:highlight w:val="none"/>
        </w:rPr>
        <w:t>台。</w:t>
      </w:r>
    </w:p>
    <w:p>
      <w:pPr>
        <w:pStyle w:val="3"/>
        <w:pageBreakBefore w:val="0"/>
        <w:kinsoku/>
        <w:wordWrap/>
        <w:overflowPunct/>
        <w:topLinePunct w:val="0"/>
        <w:bidi w:val="0"/>
        <w:snapToGrid/>
        <w:spacing w:before="0" w:beforeLines="0" w:after="0" w:afterLines="0" w:line="580" w:lineRule="exact"/>
        <w:textAlignment w:val="auto"/>
        <w:outlineLvl w:val="1"/>
        <w:rPr>
          <w:rFonts w:hint="eastAsia" w:ascii="黑体" w:hAnsi="黑体" w:eastAsia="黑体" w:cs="黑体"/>
          <w:sz w:val="32"/>
          <w:szCs w:val="32"/>
        </w:rPr>
      </w:pPr>
      <w:bookmarkStart w:id="109" w:name="_Toc330_WPSOffice_Level2"/>
      <w:bookmarkStart w:id="110" w:name="_Toc9776_WPSOffice_Level2"/>
      <w:bookmarkStart w:id="111" w:name="_Toc8439"/>
      <w:bookmarkStart w:id="112" w:name="_Toc18842"/>
      <w:bookmarkStart w:id="113" w:name="_Toc7238_WPSOffice_Level2"/>
      <w:r>
        <w:rPr>
          <w:rFonts w:hint="eastAsia" w:ascii="黑体" w:hAnsi="黑体" w:eastAsia="黑体" w:cs="黑体"/>
          <w:sz w:val="32"/>
          <w:szCs w:val="32"/>
        </w:rPr>
        <w:t>十</w:t>
      </w:r>
      <w:r>
        <w:rPr>
          <w:rFonts w:hint="eastAsia" w:ascii="黑体" w:hAnsi="黑体" w:eastAsia="黑体" w:cs="黑体"/>
          <w:sz w:val="32"/>
          <w:szCs w:val="32"/>
          <w:lang w:eastAsia="zh-CN"/>
        </w:rPr>
        <w:t>四</w:t>
      </w:r>
      <w:r>
        <w:rPr>
          <w:rFonts w:hint="eastAsia" w:ascii="黑体" w:hAnsi="黑体" w:eastAsia="黑体" w:cs="黑体"/>
          <w:sz w:val="32"/>
          <w:szCs w:val="32"/>
        </w:rPr>
        <w:t>、预算绩效情况说明</w:t>
      </w:r>
      <w:bookmarkEnd w:id="109"/>
      <w:bookmarkEnd w:id="110"/>
      <w:bookmarkEnd w:id="111"/>
      <w:bookmarkEnd w:id="112"/>
      <w:bookmarkEnd w:id="113"/>
    </w:p>
    <w:p>
      <w:pPr>
        <w:pageBreakBefore w:val="0"/>
        <w:kinsoku/>
        <w:wordWrap/>
        <w:overflowPunct/>
        <w:topLinePunct w:val="0"/>
        <w:bidi w:val="0"/>
        <w:snapToGrid/>
        <w:spacing w:line="580" w:lineRule="exact"/>
        <w:ind w:firstLine="640" w:firstLineChars="200"/>
        <w:jc w:val="left"/>
        <w:textAlignment w:val="auto"/>
        <w:rPr>
          <w:rFonts w:hint="eastAsia" w:ascii="楷体_GB2312" w:hAnsi="楷体_GB2312" w:eastAsia="楷体_GB2312" w:cs="楷体_GB2312"/>
          <w:sz w:val="32"/>
          <w:szCs w:val="32"/>
        </w:rPr>
      </w:pPr>
      <w:bookmarkStart w:id="114" w:name="_Toc32431_WPSOffice_Level3"/>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）预算绩效管理工作开展情况</w:t>
      </w:r>
    </w:p>
    <w:p>
      <w:pPr>
        <w:pageBreakBefore w:val="0"/>
        <w:kinsoku/>
        <w:wordWrap/>
        <w:overflowPunct/>
        <w:topLinePunct w:val="0"/>
        <w:bidi w:val="0"/>
        <w:snapToGrid/>
        <w:spacing w:line="580" w:lineRule="exact"/>
        <w:ind w:firstLine="640" w:firstLineChars="200"/>
        <w:jc w:val="left"/>
        <w:textAlignment w:val="auto"/>
        <w:rPr>
          <w:rFonts w:hint="eastAsia" w:ascii="仿宋_GB2312" w:hAnsi="Calibri" w:eastAsia="仿宋_GB2312"/>
          <w:sz w:val="32"/>
          <w:szCs w:val="32"/>
        </w:rPr>
      </w:pPr>
      <w:r>
        <w:rPr>
          <w:rFonts w:hint="eastAsia" w:ascii="仿宋_GB2312" w:hAnsi="Calibri" w:eastAsia="仿宋_GB2312"/>
          <w:sz w:val="32"/>
          <w:szCs w:val="32"/>
        </w:rPr>
        <w:t>根据预算绩效管理要求，我单位组织对</w:t>
      </w:r>
      <w:r>
        <w:rPr>
          <w:rFonts w:hint="eastAsia" w:ascii="仿宋_GB2312" w:hAnsi="Calibri"/>
          <w:sz w:val="32"/>
          <w:szCs w:val="32"/>
          <w:lang w:eastAsia="zh-CN"/>
        </w:rPr>
        <w:t>2022</w:t>
      </w:r>
      <w:r>
        <w:rPr>
          <w:rFonts w:hint="eastAsia" w:ascii="仿宋_GB2312" w:hAnsi="Calibri" w:eastAsia="仿宋_GB2312"/>
          <w:sz w:val="32"/>
          <w:szCs w:val="32"/>
        </w:rPr>
        <w:t>年度</w:t>
      </w:r>
      <w:r>
        <w:rPr>
          <w:rFonts w:hint="eastAsia" w:ascii="仿宋_GB2312" w:hAnsi="Calibri"/>
          <w:sz w:val="32"/>
          <w:szCs w:val="32"/>
          <w:lang w:eastAsia="zh-CN"/>
        </w:rPr>
        <w:t>财政拨款</w:t>
      </w:r>
      <w:r>
        <w:rPr>
          <w:rFonts w:hint="eastAsia" w:ascii="仿宋_GB2312" w:hAnsi="Calibri" w:eastAsia="仿宋_GB2312"/>
          <w:sz w:val="32"/>
          <w:szCs w:val="32"/>
        </w:rPr>
        <w:t>项目支出开展了绩效自评工作，共计</w:t>
      </w:r>
      <w:r>
        <w:rPr>
          <w:rFonts w:hint="eastAsia" w:ascii="仿宋_GB2312" w:hAnsi="Calibri"/>
          <w:sz w:val="32"/>
          <w:szCs w:val="32"/>
          <w:lang w:val="en-US" w:eastAsia="zh-CN"/>
        </w:rPr>
        <w:t>10</w:t>
      </w:r>
      <w:r>
        <w:rPr>
          <w:rFonts w:hint="eastAsia" w:ascii="仿宋_GB2312" w:hAnsi="Calibri" w:eastAsia="仿宋_GB2312"/>
          <w:sz w:val="32"/>
          <w:szCs w:val="32"/>
        </w:rPr>
        <w:t>个项目进行了绩效自评，涉及资金</w:t>
      </w:r>
      <w:r>
        <w:rPr>
          <w:rFonts w:hint="eastAsia" w:ascii="仿宋_GB2312" w:hAnsi="Calibri"/>
          <w:sz w:val="32"/>
          <w:szCs w:val="32"/>
          <w:lang w:val="en-US" w:eastAsia="zh-CN"/>
        </w:rPr>
        <w:t>2800.59</w:t>
      </w:r>
      <w:r>
        <w:rPr>
          <w:rFonts w:hint="eastAsia" w:ascii="仿宋_GB2312" w:hAnsi="Calibri" w:eastAsia="仿宋_GB2312"/>
          <w:sz w:val="32"/>
          <w:szCs w:val="32"/>
        </w:rPr>
        <w:t>万元，自评覆盖率达到</w:t>
      </w:r>
      <w:r>
        <w:rPr>
          <w:rFonts w:hint="eastAsia" w:ascii="仿宋_GB2312" w:hAnsi="Calibri"/>
          <w:sz w:val="32"/>
          <w:szCs w:val="32"/>
          <w:lang w:val="en-US" w:eastAsia="zh-CN"/>
        </w:rPr>
        <w:t>100</w:t>
      </w:r>
      <w:r>
        <w:rPr>
          <w:rFonts w:hint="eastAsia" w:ascii="仿宋_GB2312" w:hAnsi="Calibri" w:eastAsia="仿宋_GB2312"/>
          <w:sz w:val="32"/>
          <w:szCs w:val="32"/>
        </w:rPr>
        <w:t>%。</w:t>
      </w:r>
    </w:p>
    <w:p>
      <w:pPr>
        <w:pageBreakBefore w:val="0"/>
        <w:kinsoku/>
        <w:wordWrap/>
        <w:overflowPunct/>
        <w:topLinePunct w:val="0"/>
        <w:bidi w:val="0"/>
        <w:snapToGrid/>
        <w:spacing w:line="58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）项目支出绩效自评结果</w:t>
      </w:r>
    </w:p>
    <w:p>
      <w:pPr>
        <w:pageBreakBefore w:val="0"/>
        <w:kinsoku/>
        <w:wordWrap/>
        <w:overflowPunct/>
        <w:topLinePunct w:val="0"/>
        <w:bidi w:val="0"/>
        <w:snapToGrid/>
        <w:spacing w:line="580" w:lineRule="exact"/>
        <w:ind w:firstLine="640" w:firstLineChars="200"/>
        <w:jc w:val="left"/>
        <w:textAlignment w:val="auto"/>
        <w:rPr>
          <w:rFonts w:hint="eastAsia" w:ascii="仿宋_GB2312" w:hAnsi="Calibri" w:eastAsia="仿宋_GB2312"/>
          <w:sz w:val="32"/>
          <w:szCs w:val="32"/>
        </w:rPr>
      </w:pPr>
      <w:r>
        <w:rPr>
          <w:rFonts w:hint="eastAsia" w:ascii="仿宋_GB2312" w:hAnsi="Calibri"/>
          <w:sz w:val="32"/>
          <w:szCs w:val="32"/>
          <w:lang w:eastAsia="zh-CN"/>
        </w:rPr>
        <w:t>项目支出绩效自评表详见附件。</w:t>
      </w:r>
    </w:p>
    <w:bookmarkEnd w:id="114"/>
    <w:p>
      <w:pPr>
        <w:pageBreakBefore w:val="0"/>
        <w:kinsoku/>
        <w:wordWrap/>
        <w:overflowPunct/>
        <w:topLinePunct w:val="0"/>
        <w:bidi w:val="0"/>
        <w:snapToGrid/>
        <w:spacing w:line="580" w:lineRule="exact"/>
        <w:textAlignment w:val="auto"/>
        <w:rPr>
          <w:rFonts w:hint="eastAsia" w:ascii="仿宋_GB2312" w:eastAsia="仿宋_GB2312"/>
          <w:sz w:val="32"/>
          <w:szCs w:val="32"/>
        </w:rPr>
      </w:pPr>
    </w:p>
    <w:p>
      <w:pPr>
        <w:pStyle w:val="2"/>
        <w:pageBreakBefore w:val="0"/>
        <w:kinsoku/>
        <w:wordWrap/>
        <w:overflowPunct/>
        <w:topLinePunct w:val="0"/>
        <w:bidi w:val="0"/>
        <w:snapToGrid/>
        <w:spacing w:before="0" w:beforeLines="0" w:after="0" w:afterLines="0" w:line="580" w:lineRule="exact"/>
        <w:textAlignment w:val="auto"/>
        <w:outlineLvl w:val="0"/>
        <w:rPr>
          <w:rFonts w:hint="eastAsia" w:ascii="方正小标宋简体" w:hAnsi="方正小标宋简体" w:eastAsia="方正小标宋简体" w:cs="方正小标宋简体"/>
          <w:b w:val="0"/>
          <w:bCs w:val="0"/>
          <w:sz w:val="44"/>
          <w:szCs w:val="44"/>
        </w:rPr>
      </w:pPr>
      <w:bookmarkStart w:id="115" w:name="_Toc17986_WPSOffice_Level1"/>
      <w:bookmarkStart w:id="116" w:name="_Toc6040_WPSOffice_Level1"/>
      <w:bookmarkStart w:id="117" w:name="_Toc16713_WPSOffice_Level1"/>
      <w:bookmarkStart w:id="118" w:name="_Toc15005_WPSOffice_Level1"/>
      <w:bookmarkStart w:id="119" w:name="_Toc11389"/>
      <w:bookmarkStart w:id="120" w:name="_Toc28085"/>
      <w:r>
        <w:rPr>
          <w:rFonts w:hint="eastAsia" w:ascii="方正小标宋简体" w:hAnsi="方正小标宋简体" w:eastAsia="方正小标宋简体" w:cs="方正小标宋简体"/>
          <w:b w:val="0"/>
          <w:bCs w:val="0"/>
          <w:sz w:val="44"/>
          <w:szCs w:val="44"/>
        </w:rPr>
        <w:t>第四部分 名词解释</w:t>
      </w:r>
      <w:bookmarkEnd w:id="115"/>
      <w:bookmarkEnd w:id="116"/>
      <w:bookmarkEnd w:id="117"/>
      <w:bookmarkEnd w:id="118"/>
      <w:bookmarkEnd w:id="119"/>
      <w:bookmarkEnd w:id="120"/>
    </w:p>
    <w:p>
      <w:pPr>
        <w:pageBreakBefore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eastAsia="仿宋_GB2312"/>
          <w:sz w:val="32"/>
          <w:szCs w:val="32"/>
        </w:rPr>
      </w:pPr>
      <w:r>
        <w:rPr>
          <w:rFonts w:hint="eastAsia" w:ascii="楷体_GB2312" w:hAnsi="楷体_GB2312" w:eastAsia="楷体_GB2312" w:cs="楷体_GB2312"/>
          <w:sz w:val="32"/>
          <w:szCs w:val="32"/>
        </w:rPr>
        <w:t>（一）财政拨款收入</w:t>
      </w:r>
      <w:r>
        <w:rPr>
          <w:rFonts w:hint="eastAsia" w:ascii="仿宋_GB2312" w:eastAsia="仿宋_GB2312"/>
          <w:sz w:val="32"/>
          <w:szCs w:val="32"/>
        </w:rPr>
        <w:t>：指单位从同级财政部门取得的当年拨付的资金。</w:t>
      </w:r>
    </w:p>
    <w:p>
      <w:pPr>
        <w:pageBreakBefore w:val="0"/>
        <w:kinsoku/>
        <w:wordWrap/>
        <w:overflowPunct/>
        <w:topLinePunct w:val="0"/>
        <w:autoSpaceDE w:val="0"/>
        <w:autoSpaceDN w:val="0"/>
        <w:bidi w:val="0"/>
        <w:adjustRightInd w:val="0"/>
        <w:snapToGrid/>
        <w:spacing w:line="58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（二）上级补助收入：</w:t>
      </w:r>
      <w:r>
        <w:rPr>
          <w:rFonts w:hint="eastAsia" w:ascii="仿宋_GB2312" w:eastAsia="仿宋_GB2312"/>
          <w:sz w:val="32"/>
          <w:szCs w:val="32"/>
        </w:rPr>
        <w:t>指事业单位从主管部门和上级单位取得的非财政</w:t>
      </w:r>
      <w:r>
        <w:rPr>
          <w:rFonts w:hint="eastAsia" w:ascii="仿宋_GB2312"/>
          <w:sz w:val="32"/>
          <w:szCs w:val="32"/>
          <w:lang w:eastAsia="zh-CN"/>
        </w:rPr>
        <w:t>拨款</w:t>
      </w:r>
      <w:r>
        <w:rPr>
          <w:rFonts w:hint="eastAsia" w:ascii="仿宋_GB2312" w:eastAsia="仿宋_GB2312"/>
          <w:sz w:val="32"/>
          <w:szCs w:val="32"/>
        </w:rPr>
        <w:t>收入。</w:t>
      </w:r>
    </w:p>
    <w:p>
      <w:pPr>
        <w:pageBreakBefore w:val="0"/>
        <w:kinsoku/>
        <w:wordWrap/>
        <w:overflowPunct/>
        <w:topLinePunct w:val="0"/>
        <w:autoSpaceDE w:val="0"/>
        <w:autoSpaceDN w:val="0"/>
        <w:bidi w:val="0"/>
        <w:adjustRightInd w:val="0"/>
        <w:snapToGrid/>
        <w:spacing w:line="580" w:lineRule="exact"/>
        <w:ind w:firstLine="640"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rPr>
        <w:t>（三）事业收入</w:t>
      </w:r>
      <w:r>
        <w:rPr>
          <w:rFonts w:hint="eastAsia" w:ascii="仿宋_GB2312" w:eastAsia="仿宋_GB2312"/>
          <w:sz w:val="32"/>
          <w:szCs w:val="32"/>
        </w:rPr>
        <w:t>：指事业单位开展专业业务活动及其辅助活动所取</w:t>
      </w:r>
      <w:r>
        <w:rPr>
          <w:rFonts w:hint="eastAsia" w:ascii="仿宋_GB2312" w:eastAsia="仿宋_GB2312"/>
          <w:sz w:val="32"/>
          <w:szCs w:val="32"/>
          <w:highlight w:val="none"/>
        </w:rPr>
        <w:t>得的收入。</w:t>
      </w:r>
    </w:p>
    <w:p>
      <w:pPr>
        <w:pageBreakBefore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eastAsia="仿宋_GB2312"/>
          <w:sz w:val="32"/>
          <w:szCs w:val="32"/>
          <w:highlight w:val="none"/>
        </w:rPr>
      </w:pPr>
      <w:r>
        <w:rPr>
          <w:rFonts w:hint="eastAsia" w:ascii="楷体_GB2312" w:hAnsi="楷体_GB2312" w:eastAsia="楷体_GB2312" w:cs="楷体_GB2312"/>
          <w:sz w:val="32"/>
          <w:szCs w:val="32"/>
          <w:highlight w:val="none"/>
        </w:rPr>
        <w:t>（四）经营收入：</w:t>
      </w:r>
      <w:r>
        <w:rPr>
          <w:rFonts w:hint="eastAsia" w:ascii="仿宋_GB2312" w:eastAsia="仿宋_GB2312"/>
          <w:sz w:val="32"/>
          <w:szCs w:val="32"/>
          <w:highlight w:val="none"/>
        </w:rPr>
        <w:t>指事业单位在专业业务活动及其辅助活动之外开展非独立核算经营活动取得的收入。</w:t>
      </w:r>
    </w:p>
    <w:p>
      <w:pPr>
        <w:pageBreakBefore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eastAsia="仿宋_GB2312"/>
          <w:sz w:val="32"/>
          <w:szCs w:val="32"/>
          <w:highlight w:val="none"/>
        </w:rPr>
      </w:pPr>
      <w:r>
        <w:rPr>
          <w:rFonts w:hint="eastAsia" w:ascii="楷体_GB2312" w:hAnsi="楷体_GB2312" w:eastAsia="楷体_GB2312" w:cs="楷体_GB2312"/>
          <w:sz w:val="32"/>
          <w:szCs w:val="32"/>
          <w:highlight w:val="none"/>
        </w:rPr>
        <w:t>（五）附属单位上缴收入：</w:t>
      </w:r>
      <w:r>
        <w:rPr>
          <w:rFonts w:hint="eastAsia" w:ascii="仿宋_GB2312" w:eastAsia="仿宋_GB2312"/>
          <w:sz w:val="32"/>
          <w:szCs w:val="32"/>
          <w:highlight w:val="none"/>
        </w:rPr>
        <w:t>指事业单位取得</w:t>
      </w:r>
      <w:r>
        <w:rPr>
          <w:rFonts w:hint="eastAsia" w:ascii="仿宋_GB2312"/>
          <w:sz w:val="32"/>
          <w:szCs w:val="32"/>
          <w:highlight w:val="none"/>
          <w:lang w:eastAsia="zh-CN"/>
        </w:rPr>
        <w:t>的</w:t>
      </w:r>
      <w:r>
        <w:rPr>
          <w:rFonts w:hint="eastAsia" w:ascii="仿宋_GB2312" w:eastAsia="仿宋_GB2312"/>
          <w:sz w:val="32"/>
          <w:szCs w:val="32"/>
          <w:highlight w:val="none"/>
        </w:rPr>
        <w:t>附属独立核算单位</w:t>
      </w:r>
      <w:r>
        <w:rPr>
          <w:rFonts w:hint="eastAsia" w:ascii="仿宋_GB2312"/>
          <w:sz w:val="32"/>
          <w:szCs w:val="32"/>
          <w:highlight w:val="none"/>
          <w:lang w:eastAsia="zh-CN"/>
        </w:rPr>
        <w:t>按照</w:t>
      </w:r>
      <w:r>
        <w:rPr>
          <w:rFonts w:hint="eastAsia" w:ascii="仿宋_GB2312" w:eastAsia="仿宋_GB2312"/>
          <w:sz w:val="32"/>
          <w:szCs w:val="32"/>
          <w:highlight w:val="none"/>
        </w:rPr>
        <w:t>有关规定上缴的</w:t>
      </w:r>
      <w:r>
        <w:rPr>
          <w:rFonts w:hint="eastAsia" w:ascii="仿宋_GB2312"/>
          <w:sz w:val="32"/>
          <w:szCs w:val="32"/>
          <w:highlight w:val="none"/>
          <w:lang w:eastAsia="zh-CN"/>
        </w:rPr>
        <w:t>收入</w:t>
      </w:r>
      <w:r>
        <w:rPr>
          <w:rFonts w:hint="eastAsia" w:ascii="仿宋_GB2312" w:eastAsia="仿宋_GB2312"/>
          <w:sz w:val="32"/>
          <w:szCs w:val="32"/>
          <w:highlight w:val="none"/>
        </w:rPr>
        <w:t>。</w:t>
      </w:r>
    </w:p>
    <w:p>
      <w:pPr>
        <w:pageBreakBefore w:val="0"/>
        <w:kinsoku/>
        <w:wordWrap/>
        <w:overflowPunct/>
        <w:topLinePunct w:val="0"/>
        <w:autoSpaceDE w:val="0"/>
        <w:autoSpaceDN w:val="0"/>
        <w:bidi w:val="0"/>
        <w:adjustRightInd w:val="0"/>
        <w:snapToGrid/>
        <w:spacing w:line="580" w:lineRule="exact"/>
        <w:ind w:firstLine="640"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（六）其他收入：</w:t>
      </w:r>
      <w:r>
        <w:rPr>
          <w:rFonts w:hint="eastAsia" w:ascii="仿宋_GB2312" w:eastAsia="仿宋_GB2312"/>
          <w:sz w:val="32"/>
          <w:szCs w:val="32"/>
          <w:highlight w:val="none"/>
        </w:rPr>
        <w:t>指除上述</w:t>
      </w:r>
      <w:r>
        <w:rPr>
          <w:rFonts w:ascii="仿宋_GB2312" w:eastAsia="仿宋_GB2312"/>
          <w:sz w:val="32"/>
          <w:szCs w:val="32"/>
          <w:highlight w:val="none"/>
        </w:rPr>
        <w:t>“</w:t>
      </w:r>
      <w:r>
        <w:rPr>
          <w:rFonts w:hint="eastAsia" w:ascii="仿宋_GB2312" w:eastAsia="仿宋_GB2312"/>
          <w:sz w:val="32"/>
          <w:szCs w:val="32"/>
          <w:highlight w:val="none"/>
        </w:rPr>
        <w:t>财政拨款收入</w:t>
      </w:r>
      <w:r>
        <w:rPr>
          <w:rFonts w:ascii="仿宋_GB2312" w:eastAsia="仿宋_GB2312"/>
          <w:sz w:val="32"/>
          <w:szCs w:val="32"/>
          <w:highlight w:val="none"/>
        </w:rPr>
        <w:t>”</w:t>
      </w:r>
      <w:r>
        <w:rPr>
          <w:rFonts w:hint="eastAsia" w:ascii="仿宋_GB2312" w:eastAsia="仿宋_GB2312"/>
          <w:sz w:val="32"/>
          <w:szCs w:val="32"/>
          <w:highlight w:val="none"/>
        </w:rPr>
        <w:t>、</w:t>
      </w:r>
      <w:r>
        <w:rPr>
          <w:rFonts w:ascii="仿宋_GB2312" w:eastAsia="仿宋_GB2312"/>
          <w:sz w:val="32"/>
          <w:szCs w:val="32"/>
          <w:highlight w:val="none"/>
        </w:rPr>
        <w:t>“</w:t>
      </w:r>
      <w:r>
        <w:rPr>
          <w:rFonts w:hint="eastAsia" w:ascii="仿宋_GB2312" w:eastAsia="仿宋_GB2312"/>
          <w:sz w:val="32"/>
          <w:szCs w:val="32"/>
          <w:highlight w:val="none"/>
        </w:rPr>
        <w:t>事业收入</w:t>
      </w:r>
      <w:r>
        <w:rPr>
          <w:rFonts w:ascii="仿宋_GB2312" w:eastAsia="仿宋_GB2312"/>
          <w:sz w:val="32"/>
          <w:szCs w:val="32"/>
          <w:highlight w:val="none"/>
        </w:rPr>
        <w:t>”</w:t>
      </w:r>
      <w:r>
        <w:rPr>
          <w:rFonts w:hint="eastAsia" w:ascii="仿宋_GB2312" w:eastAsia="仿宋_GB2312"/>
          <w:sz w:val="32"/>
          <w:szCs w:val="32"/>
          <w:highlight w:val="none"/>
        </w:rPr>
        <w:t>、</w:t>
      </w:r>
      <w:r>
        <w:rPr>
          <w:rFonts w:ascii="仿宋_GB2312" w:eastAsia="仿宋_GB2312"/>
          <w:sz w:val="32"/>
          <w:szCs w:val="32"/>
          <w:highlight w:val="none"/>
        </w:rPr>
        <w:t>“</w:t>
      </w:r>
      <w:r>
        <w:rPr>
          <w:rFonts w:hint="eastAsia" w:ascii="仿宋_GB2312" w:eastAsia="仿宋_GB2312"/>
          <w:sz w:val="32"/>
          <w:szCs w:val="32"/>
          <w:highlight w:val="none"/>
        </w:rPr>
        <w:t>经营收入</w:t>
      </w:r>
      <w:r>
        <w:rPr>
          <w:rFonts w:ascii="仿宋_GB2312" w:eastAsia="仿宋_GB2312"/>
          <w:sz w:val="32"/>
          <w:szCs w:val="32"/>
          <w:highlight w:val="none"/>
        </w:rPr>
        <w:t>”</w:t>
      </w:r>
      <w:r>
        <w:rPr>
          <w:rFonts w:hint="eastAsia" w:ascii="仿宋_GB2312" w:eastAsia="仿宋_GB2312"/>
          <w:sz w:val="32"/>
          <w:szCs w:val="32"/>
          <w:highlight w:val="none"/>
        </w:rPr>
        <w:t>、</w:t>
      </w:r>
      <w:r>
        <w:rPr>
          <w:rFonts w:ascii="仿宋_GB2312" w:eastAsia="仿宋_GB2312"/>
          <w:sz w:val="32"/>
          <w:szCs w:val="32"/>
          <w:highlight w:val="none"/>
        </w:rPr>
        <w:t>“</w:t>
      </w:r>
      <w:r>
        <w:rPr>
          <w:rFonts w:hint="eastAsia" w:ascii="仿宋_GB2312" w:eastAsia="仿宋_GB2312"/>
          <w:sz w:val="32"/>
          <w:szCs w:val="32"/>
          <w:highlight w:val="none"/>
        </w:rPr>
        <w:t>附属单位上缴收入</w:t>
      </w:r>
      <w:r>
        <w:rPr>
          <w:rFonts w:ascii="仿宋_GB2312" w:eastAsia="仿宋_GB2312"/>
          <w:sz w:val="32"/>
          <w:szCs w:val="32"/>
          <w:highlight w:val="none"/>
        </w:rPr>
        <w:t>”</w:t>
      </w:r>
      <w:r>
        <w:rPr>
          <w:rFonts w:hint="eastAsia" w:ascii="仿宋_GB2312" w:eastAsia="仿宋_GB2312"/>
          <w:sz w:val="32"/>
          <w:szCs w:val="32"/>
          <w:highlight w:val="none"/>
        </w:rPr>
        <w:t>等之外取得的收入。</w:t>
      </w:r>
    </w:p>
    <w:p>
      <w:pPr>
        <w:pageBreakBefore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eastAsia="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七</w:t>
      </w:r>
      <w:r>
        <w:rPr>
          <w:rFonts w:hint="eastAsia" w:ascii="楷体_GB2312" w:hAnsi="楷体_GB2312" w:eastAsia="楷体_GB2312" w:cs="楷体_GB2312"/>
          <w:sz w:val="32"/>
          <w:szCs w:val="32"/>
          <w:highlight w:val="none"/>
        </w:rPr>
        <w:t>）年初结转和结余：</w:t>
      </w:r>
      <w:r>
        <w:rPr>
          <w:rFonts w:hint="eastAsia" w:ascii="仿宋_GB2312" w:eastAsia="仿宋_GB2312"/>
          <w:sz w:val="32"/>
          <w:szCs w:val="32"/>
          <w:highlight w:val="none"/>
        </w:rPr>
        <w:t>指</w:t>
      </w:r>
      <w:r>
        <w:rPr>
          <w:rFonts w:hint="eastAsia" w:ascii="仿宋_GB2312"/>
          <w:sz w:val="32"/>
          <w:szCs w:val="32"/>
          <w:highlight w:val="none"/>
          <w:lang w:eastAsia="zh-CN"/>
        </w:rPr>
        <w:t>单位</w:t>
      </w:r>
      <w:r>
        <w:rPr>
          <w:rFonts w:hint="eastAsia" w:ascii="仿宋_GB2312" w:eastAsia="仿宋_GB2312"/>
          <w:sz w:val="32"/>
          <w:szCs w:val="32"/>
          <w:highlight w:val="none"/>
        </w:rPr>
        <w:t>以前年度</w:t>
      </w:r>
      <w:r>
        <w:rPr>
          <w:rFonts w:hint="eastAsia" w:ascii="仿宋_GB2312"/>
          <w:sz w:val="32"/>
          <w:szCs w:val="32"/>
          <w:highlight w:val="none"/>
          <w:lang w:eastAsia="zh-CN"/>
        </w:rPr>
        <w:t>尚未完成、结转到本年仍按原规定用途继续使用的资金，或项目已完成等产生的结余资金</w:t>
      </w:r>
      <w:r>
        <w:rPr>
          <w:rFonts w:hint="eastAsia" w:ascii="仿宋_GB2312" w:eastAsia="仿宋_GB2312"/>
          <w:sz w:val="32"/>
          <w:szCs w:val="32"/>
          <w:highlight w:val="none"/>
        </w:rPr>
        <w:t>。</w:t>
      </w:r>
    </w:p>
    <w:p>
      <w:pPr>
        <w:pageBreakBefore w:val="0"/>
        <w:kinsoku/>
        <w:wordWrap/>
        <w:overflowPunct/>
        <w:topLinePunct w:val="0"/>
        <w:bidi w:val="0"/>
        <w:snapToGrid/>
        <w:spacing w:line="580" w:lineRule="exact"/>
        <w:ind w:firstLine="640" w:firstLineChars="200"/>
        <w:textAlignment w:val="auto"/>
        <w:rPr>
          <w:rFonts w:hint="eastAsia" w:ascii="仿宋_GB2312"/>
          <w:sz w:val="32"/>
          <w:szCs w:val="32"/>
          <w:highlight w:val="none"/>
          <w:lang w:eastAsia="zh-CN"/>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八</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使用</w:t>
      </w:r>
      <w:r>
        <w:rPr>
          <w:rFonts w:hint="eastAsia" w:ascii="楷体_GB2312" w:hAnsi="楷体_GB2312" w:eastAsia="楷体_GB2312" w:cs="楷体_GB2312"/>
          <w:sz w:val="32"/>
          <w:szCs w:val="32"/>
          <w:highlight w:val="none"/>
        </w:rPr>
        <w:t>非财政拨款结余：</w:t>
      </w:r>
      <w:r>
        <w:rPr>
          <w:rFonts w:hint="eastAsia" w:ascii="仿宋_GB2312"/>
          <w:sz w:val="32"/>
          <w:szCs w:val="32"/>
          <w:highlight w:val="none"/>
          <w:lang w:eastAsia="zh-CN"/>
        </w:rPr>
        <w:t>指事业单位按照预算管理要求使用非财政拨款结余和专用结余弥补收支差额的金额。</w:t>
      </w:r>
    </w:p>
    <w:p>
      <w:pPr>
        <w:pageBreakBefore w:val="0"/>
        <w:kinsoku/>
        <w:wordWrap/>
        <w:overflowPunct/>
        <w:topLinePunct w:val="0"/>
        <w:bidi w:val="0"/>
        <w:snapToGrid/>
        <w:spacing w:line="580" w:lineRule="exact"/>
        <w:ind w:firstLine="640" w:firstLineChars="200"/>
        <w:textAlignment w:val="auto"/>
        <w:rPr>
          <w:rFonts w:hint="eastAsia"/>
          <w:sz w:val="32"/>
          <w:szCs w:val="32"/>
          <w:highlight w:val="none"/>
        </w:rPr>
      </w:pPr>
      <w:r>
        <w:rPr>
          <w:rFonts w:hint="eastAsia" w:ascii="楷体_GB2312" w:hAnsi="楷体_GB2312" w:eastAsia="楷体_GB2312" w:cs="楷体_GB2312"/>
          <w:sz w:val="32"/>
          <w:szCs w:val="32"/>
          <w:highlight w:val="none"/>
        </w:rPr>
        <w:t>（九）结余分配：</w:t>
      </w:r>
      <w:r>
        <w:rPr>
          <w:rFonts w:hint="eastAsia"/>
          <w:sz w:val="32"/>
          <w:szCs w:val="32"/>
          <w:highlight w:val="none"/>
        </w:rPr>
        <w:t>指单位</w:t>
      </w:r>
      <w:r>
        <w:rPr>
          <w:rFonts w:hint="eastAsia"/>
          <w:sz w:val="32"/>
          <w:szCs w:val="32"/>
          <w:highlight w:val="none"/>
          <w:lang w:eastAsia="zh-CN"/>
        </w:rPr>
        <w:t>缴纳企业所得税以及从非财政拨款结余或经营结余中提取各类结余的情况</w:t>
      </w:r>
      <w:r>
        <w:rPr>
          <w:rFonts w:hint="eastAsia"/>
          <w:sz w:val="32"/>
          <w:szCs w:val="32"/>
          <w:highlight w:val="none"/>
        </w:rPr>
        <w:t>。</w:t>
      </w:r>
    </w:p>
    <w:p>
      <w:pPr>
        <w:pageBreakBefore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eastAsia="仿宋_GB2312"/>
          <w:sz w:val="32"/>
          <w:szCs w:val="32"/>
          <w:highlight w:val="none"/>
        </w:rPr>
      </w:pPr>
      <w:r>
        <w:rPr>
          <w:rFonts w:hint="eastAsia" w:ascii="楷体_GB2312" w:hAnsi="楷体_GB2312" w:eastAsia="楷体_GB2312" w:cs="楷体_GB2312"/>
          <w:sz w:val="32"/>
          <w:szCs w:val="32"/>
          <w:highlight w:val="none"/>
        </w:rPr>
        <w:t>（十）年末结转和结余：</w:t>
      </w:r>
      <w:r>
        <w:rPr>
          <w:rFonts w:hint="eastAsia" w:ascii="仿宋_GB2312" w:eastAsia="仿宋_GB2312"/>
          <w:sz w:val="32"/>
          <w:szCs w:val="32"/>
          <w:highlight w:val="none"/>
        </w:rPr>
        <w:t>指单位本年度或以前年度预算安排、因客观条件发生变化未全部执行或未执行，结转到以后年度继续使用的资金，或项目已完成等产生</w:t>
      </w:r>
      <w:r>
        <w:rPr>
          <w:rFonts w:hint="eastAsia" w:ascii="仿宋_GB2312"/>
          <w:sz w:val="32"/>
          <w:szCs w:val="32"/>
          <w:highlight w:val="none"/>
          <w:lang w:eastAsia="zh-CN"/>
        </w:rPr>
        <w:t>的</w:t>
      </w:r>
      <w:r>
        <w:rPr>
          <w:rFonts w:hint="eastAsia" w:ascii="仿宋_GB2312" w:eastAsia="仿宋_GB2312"/>
          <w:sz w:val="32"/>
          <w:szCs w:val="32"/>
          <w:highlight w:val="none"/>
        </w:rPr>
        <w:t>结余资金。</w:t>
      </w:r>
    </w:p>
    <w:p>
      <w:pPr>
        <w:pageBreakBefore w:val="0"/>
        <w:kinsoku/>
        <w:wordWrap/>
        <w:overflowPunct/>
        <w:topLinePunct w:val="0"/>
        <w:autoSpaceDE w:val="0"/>
        <w:autoSpaceDN w:val="0"/>
        <w:bidi w:val="0"/>
        <w:adjustRightInd w:val="0"/>
        <w:snapToGrid/>
        <w:spacing w:line="580" w:lineRule="exact"/>
        <w:ind w:firstLine="640"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（十一）基本支出</w:t>
      </w:r>
      <w:r>
        <w:rPr>
          <w:rFonts w:hint="eastAsia" w:ascii="仿宋_GB2312" w:eastAsia="仿宋_GB2312"/>
          <w:sz w:val="32"/>
          <w:szCs w:val="32"/>
          <w:highlight w:val="none"/>
        </w:rPr>
        <w:t>：指为保障机构正常运转、完成日常工作任务而发生的人员支出和公用支出。</w:t>
      </w:r>
    </w:p>
    <w:p>
      <w:pPr>
        <w:pageBreakBefore w:val="0"/>
        <w:kinsoku/>
        <w:wordWrap/>
        <w:overflowPunct/>
        <w:topLinePunct w:val="0"/>
        <w:autoSpaceDE w:val="0"/>
        <w:autoSpaceDN w:val="0"/>
        <w:bidi w:val="0"/>
        <w:adjustRightInd w:val="0"/>
        <w:snapToGrid/>
        <w:spacing w:line="580" w:lineRule="exact"/>
        <w:ind w:firstLine="640"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（十二）项目支出</w:t>
      </w:r>
      <w:r>
        <w:rPr>
          <w:rFonts w:hint="eastAsia" w:ascii="仿宋_GB2312" w:eastAsia="仿宋_GB2312"/>
          <w:sz w:val="32"/>
          <w:szCs w:val="32"/>
          <w:highlight w:val="none"/>
        </w:rPr>
        <w:t>：指在基本支出之外为完成特定行政任务和事业发展目标所发生的支出。</w:t>
      </w:r>
    </w:p>
    <w:p>
      <w:pPr>
        <w:pageBreakBefore w:val="0"/>
        <w:kinsoku/>
        <w:wordWrap/>
        <w:overflowPunct/>
        <w:topLinePunct w:val="0"/>
        <w:autoSpaceDE w:val="0"/>
        <w:autoSpaceDN w:val="0"/>
        <w:bidi w:val="0"/>
        <w:adjustRightInd w:val="0"/>
        <w:snapToGrid/>
        <w:spacing w:line="580" w:lineRule="exact"/>
        <w:ind w:firstLine="640"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（十三）经营支出：</w:t>
      </w:r>
      <w:r>
        <w:rPr>
          <w:rFonts w:hint="eastAsia" w:ascii="仿宋_GB2312" w:eastAsia="仿宋_GB2312"/>
          <w:sz w:val="32"/>
          <w:szCs w:val="32"/>
          <w:highlight w:val="none"/>
        </w:rPr>
        <w:t>指事业单位在专业业务活动及其辅助活动之外开展非独立核算经营活动发生的支出。</w:t>
      </w:r>
    </w:p>
    <w:p>
      <w:pPr>
        <w:pageBreakBefore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eastAsia="仿宋_GB2312"/>
          <w:sz w:val="32"/>
          <w:szCs w:val="32"/>
          <w:highlight w:val="none"/>
        </w:rPr>
      </w:pPr>
      <w:r>
        <w:rPr>
          <w:rFonts w:hint="eastAsia" w:ascii="楷体_GB2312" w:hAnsi="楷体_GB2312" w:eastAsia="楷体_GB2312" w:cs="楷体_GB2312"/>
          <w:sz w:val="32"/>
          <w:szCs w:val="32"/>
          <w:highlight w:val="none"/>
        </w:rPr>
        <w:t>（十四）对附属单位补助支出：</w:t>
      </w:r>
      <w:r>
        <w:rPr>
          <w:rFonts w:hint="eastAsia" w:ascii="仿宋_GB2312" w:eastAsia="仿宋_GB2312"/>
          <w:sz w:val="32"/>
          <w:szCs w:val="32"/>
          <w:highlight w:val="none"/>
        </w:rPr>
        <w:t>指事业单位用财政拨款预算收入之外的收入对附属单位的</w:t>
      </w:r>
      <w:r>
        <w:rPr>
          <w:rFonts w:hint="eastAsia" w:ascii="仿宋_GB2312"/>
          <w:sz w:val="32"/>
          <w:szCs w:val="32"/>
          <w:highlight w:val="none"/>
          <w:lang w:eastAsia="zh-CN"/>
        </w:rPr>
        <w:t>补助支出</w:t>
      </w:r>
      <w:r>
        <w:rPr>
          <w:rFonts w:hint="eastAsia" w:ascii="仿宋_GB2312" w:eastAsia="仿宋_GB2312"/>
          <w:sz w:val="32"/>
          <w:szCs w:val="32"/>
          <w:highlight w:val="none"/>
        </w:rPr>
        <w:t>。</w:t>
      </w:r>
    </w:p>
    <w:p>
      <w:pPr>
        <w:pageBreakBefore w:val="0"/>
        <w:kinsoku/>
        <w:wordWrap/>
        <w:overflowPunct/>
        <w:topLinePunct w:val="0"/>
        <w:autoSpaceDE w:val="0"/>
        <w:autoSpaceDN w:val="0"/>
        <w:bidi w:val="0"/>
        <w:adjustRightInd w:val="0"/>
        <w:snapToGrid/>
        <w:spacing w:line="580" w:lineRule="exact"/>
        <w:ind w:firstLine="640"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（十五）“三公”经费：</w:t>
      </w:r>
      <w:r>
        <w:rPr>
          <w:rFonts w:hint="eastAsia" w:ascii="仿宋_GB2312" w:eastAsia="仿宋_GB2312"/>
          <w:sz w:val="32"/>
          <w:szCs w:val="32"/>
          <w:highlight w:val="none"/>
        </w:rPr>
        <w:t>纳入同级财政预决算管理的</w:t>
      </w:r>
      <w:r>
        <w:rPr>
          <w:rFonts w:ascii="仿宋_GB2312" w:eastAsia="仿宋_GB2312"/>
          <w:sz w:val="32"/>
          <w:szCs w:val="32"/>
          <w:highlight w:val="none"/>
        </w:rPr>
        <w:t>“</w:t>
      </w:r>
      <w:r>
        <w:rPr>
          <w:rFonts w:hint="eastAsia" w:ascii="仿宋_GB2312" w:eastAsia="仿宋_GB2312"/>
          <w:sz w:val="32"/>
          <w:szCs w:val="32"/>
          <w:highlight w:val="none"/>
        </w:rPr>
        <w:t>三公</w:t>
      </w:r>
      <w:r>
        <w:rPr>
          <w:rFonts w:ascii="仿宋_GB2312" w:eastAsia="仿宋_GB2312"/>
          <w:sz w:val="32"/>
          <w:szCs w:val="32"/>
          <w:highlight w:val="none"/>
        </w:rPr>
        <w:t>”</w:t>
      </w:r>
      <w:r>
        <w:rPr>
          <w:rFonts w:hint="eastAsia" w:ascii="仿宋_GB2312" w:eastAsia="仿宋_GB2312"/>
          <w:sz w:val="32"/>
          <w:szCs w:val="32"/>
          <w:highlight w:val="none"/>
        </w:rPr>
        <w:t>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及</w:t>
      </w:r>
      <w:r>
        <w:rPr>
          <w:rFonts w:hint="eastAsia" w:ascii="仿宋_GB2312"/>
          <w:sz w:val="32"/>
          <w:szCs w:val="32"/>
          <w:highlight w:val="none"/>
          <w:lang w:eastAsia="zh-CN"/>
        </w:rPr>
        <w:t>公务用车</w:t>
      </w:r>
      <w:r>
        <w:rPr>
          <w:rFonts w:hint="eastAsia" w:ascii="仿宋_GB2312" w:eastAsia="仿宋_GB2312"/>
          <w:sz w:val="32"/>
          <w:szCs w:val="32"/>
          <w:highlight w:val="none"/>
        </w:rPr>
        <w:t>燃料费、维修费、过路过桥费、保险费、安全奖励费等支出；公务接待费反映单位按规定开支的各类公务接待（含外宾接待）</w:t>
      </w:r>
      <w:r>
        <w:rPr>
          <w:rFonts w:hint="eastAsia" w:ascii="仿宋_GB2312"/>
          <w:sz w:val="32"/>
          <w:szCs w:val="32"/>
          <w:highlight w:val="none"/>
          <w:lang w:eastAsia="zh-CN"/>
        </w:rPr>
        <w:t>费用</w:t>
      </w:r>
      <w:r>
        <w:rPr>
          <w:rFonts w:hint="eastAsia" w:ascii="仿宋_GB2312" w:eastAsia="仿宋_GB2312"/>
          <w:sz w:val="32"/>
          <w:szCs w:val="32"/>
          <w:highlight w:val="none"/>
        </w:rPr>
        <w:t>。</w:t>
      </w:r>
    </w:p>
    <w:p>
      <w:pPr>
        <w:pageBreakBefore w:val="0"/>
        <w:kinsoku/>
        <w:wordWrap/>
        <w:overflowPunct/>
        <w:topLinePunct w:val="0"/>
        <w:autoSpaceDE w:val="0"/>
        <w:autoSpaceDN w:val="0"/>
        <w:bidi w:val="0"/>
        <w:adjustRightInd w:val="0"/>
        <w:snapToGrid/>
        <w:spacing w:line="580" w:lineRule="exact"/>
        <w:ind w:firstLine="640"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（十六）机关运行经费：</w:t>
      </w:r>
      <w:r>
        <w:rPr>
          <w:rFonts w:hint="eastAsia" w:ascii="仿宋_GB2312" w:eastAsia="仿宋_GB2312"/>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napToGrid/>
        <w:spacing w:line="580" w:lineRule="exact"/>
        <w:ind w:firstLine="640" w:firstLineChars="200"/>
        <w:textAlignment w:val="auto"/>
        <w:rPr>
          <w:rFonts w:hint="eastAsia"/>
          <w:highlight w:val="none"/>
          <w:lang w:eastAsia="zh-CN"/>
        </w:rPr>
      </w:pPr>
      <w:r>
        <w:rPr>
          <w:rFonts w:hint="eastAsia" w:ascii="楷体_GB2312" w:hAnsi="楷体_GB2312" w:eastAsia="楷体_GB2312" w:cs="楷体_GB2312"/>
          <w:highlight w:val="none"/>
          <w:lang w:val="en-US" w:eastAsia="zh-CN"/>
        </w:rPr>
        <w:t>（十七）一般公共服务支出</w:t>
      </w:r>
      <w:r>
        <w:rPr>
          <w:rFonts w:hint="eastAsia" w:ascii="楷体_GB2312" w:hAnsi="楷体_GB2312" w:eastAsia="楷体_GB2312" w:cs="楷体_GB2312"/>
          <w:highlight w:val="none"/>
        </w:rPr>
        <w:t>（类）</w:t>
      </w:r>
      <w:r>
        <w:rPr>
          <w:rFonts w:hint="eastAsia" w:ascii="楷体_GB2312" w:hAnsi="楷体_GB2312" w:eastAsia="楷体_GB2312" w:cs="楷体_GB2312"/>
          <w:highlight w:val="none"/>
          <w:lang w:eastAsia="zh-CN"/>
        </w:rPr>
        <w:t>政府办公厅及相关机构事务</w:t>
      </w:r>
      <w:r>
        <w:rPr>
          <w:rFonts w:hint="eastAsia" w:ascii="楷体_GB2312" w:hAnsi="楷体_GB2312" w:eastAsia="楷体_GB2312" w:cs="楷体_GB2312"/>
          <w:highlight w:val="none"/>
        </w:rPr>
        <w:t>（款）</w:t>
      </w:r>
      <w:r>
        <w:rPr>
          <w:rFonts w:hint="eastAsia" w:ascii="楷体_GB2312" w:hAnsi="楷体_GB2312" w:eastAsia="楷体_GB2312" w:cs="楷体_GB2312"/>
          <w:highlight w:val="none"/>
          <w:lang w:eastAsia="zh-CN"/>
        </w:rPr>
        <w:t>行政运行</w:t>
      </w:r>
      <w:r>
        <w:rPr>
          <w:rFonts w:hint="eastAsia" w:ascii="楷体_GB2312" w:hAnsi="楷体_GB2312" w:eastAsia="楷体_GB2312" w:cs="楷体_GB2312"/>
          <w:highlight w:val="none"/>
        </w:rPr>
        <w:t>（项）</w:t>
      </w:r>
      <w:r>
        <w:rPr>
          <w:rFonts w:hint="eastAsia"/>
          <w:highlight w:val="none"/>
          <w:lang w:eastAsia="zh-CN"/>
        </w:rPr>
        <w:t>：指行政行政单位（包括实行公务员管理的事业单位）的基本支出。</w:t>
      </w:r>
    </w:p>
    <w:p>
      <w:pPr>
        <w:pageBreakBefore w:val="0"/>
        <w:kinsoku/>
        <w:wordWrap/>
        <w:overflowPunct/>
        <w:topLinePunct w:val="0"/>
        <w:bidi w:val="0"/>
        <w:snapToGrid/>
        <w:spacing w:line="580" w:lineRule="exact"/>
        <w:ind w:firstLine="640" w:firstLineChars="200"/>
        <w:textAlignment w:val="auto"/>
        <w:rPr>
          <w:rFonts w:hint="eastAsia"/>
          <w:highlight w:val="none"/>
          <w:lang w:val="en-US" w:eastAsia="zh-CN"/>
        </w:rPr>
      </w:pPr>
      <w:r>
        <w:rPr>
          <w:rFonts w:hint="eastAsia" w:ascii="楷体_GB2312" w:hAnsi="楷体_GB2312" w:eastAsia="楷体_GB2312" w:cs="楷体_GB2312"/>
          <w:highlight w:val="none"/>
          <w:lang w:val="en-US" w:eastAsia="zh-CN"/>
        </w:rPr>
        <w:t>（十八）一般公共服务支出</w:t>
      </w:r>
      <w:r>
        <w:rPr>
          <w:rFonts w:hint="eastAsia" w:ascii="楷体_GB2312" w:hAnsi="楷体_GB2312" w:eastAsia="楷体_GB2312" w:cs="楷体_GB2312"/>
          <w:highlight w:val="none"/>
        </w:rPr>
        <w:t>（类）</w:t>
      </w:r>
      <w:r>
        <w:rPr>
          <w:rFonts w:hint="eastAsia" w:ascii="楷体_GB2312" w:hAnsi="楷体_GB2312" w:eastAsia="楷体_GB2312" w:cs="楷体_GB2312"/>
          <w:highlight w:val="none"/>
          <w:lang w:eastAsia="zh-CN"/>
        </w:rPr>
        <w:t>政府办公厅及相关机构事务</w:t>
      </w:r>
      <w:r>
        <w:rPr>
          <w:rFonts w:hint="eastAsia" w:ascii="楷体_GB2312" w:hAnsi="楷体_GB2312" w:eastAsia="楷体_GB2312" w:cs="楷体_GB2312"/>
          <w:highlight w:val="none"/>
        </w:rPr>
        <w:t>（款）</w:t>
      </w:r>
      <w:r>
        <w:rPr>
          <w:rFonts w:hint="eastAsia" w:ascii="楷体_GB2312" w:hAnsi="楷体_GB2312" w:eastAsia="楷体_GB2312" w:cs="楷体_GB2312"/>
          <w:highlight w:val="none"/>
          <w:lang w:eastAsia="zh-CN"/>
        </w:rPr>
        <w:t>其他政府办公厅（室）及相关机构事务支出</w:t>
      </w:r>
      <w:r>
        <w:rPr>
          <w:rFonts w:hint="eastAsia" w:ascii="楷体_GB2312" w:hAnsi="楷体_GB2312" w:eastAsia="楷体_GB2312" w:cs="楷体_GB2312"/>
          <w:highlight w:val="none"/>
        </w:rPr>
        <w:t>（项）</w:t>
      </w:r>
      <w:r>
        <w:rPr>
          <w:rFonts w:hint="eastAsia"/>
          <w:highlight w:val="none"/>
          <w:lang w:eastAsia="zh-CN"/>
        </w:rPr>
        <w:t>：指除上述项目以外的其他政府办公厅（室）及相关机构事务支出。</w:t>
      </w:r>
      <w:r>
        <w:rPr>
          <w:rFonts w:hint="eastAsia"/>
          <w:highlight w:val="none"/>
          <w:lang w:val="en-US" w:eastAsia="zh-CN"/>
        </w:rPr>
        <w:t xml:space="preserve"> </w:t>
      </w:r>
    </w:p>
    <w:p>
      <w:pPr>
        <w:pageBreakBefore w:val="0"/>
        <w:kinsoku/>
        <w:wordWrap/>
        <w:overflowPunct/>
        <w:topLinePunct w:val="0"/>
        <w:bidi w:val="0"/>
        <w:snapToGrid/>
        <w:spacing w:line="580" w:lineRule="exact"/>
        <w:ind w:firstLine="640" w:firstLineChars="200"/>
        <w:textAlignment w:val="auto"/>
        <w:rPr>
          <w:rFonts w:hint="eastAsia"/>
          <w:highlight w:val="none"/>
          <w:lang w:eastAsia="zh-CN"/>
        </w:rPr>
      </w:pPr>
      <w:r>
        <w:rPr>
          <w:rFonts w:hint="eastAsia" w:ascii="楷体_GB2312" w:hAnsi="楷体_GB2312" w:eastAsia="楷体_GB2312" w:cs="楷体_GB2312"/>
          <w:highlight w:val="none"/>
          <w:lang w:val="en-US" w:eastAsia="zh-CN"/>
        </w:rPr>
        <w:t>（十九）一般公共服务支出</w:t>
      </w:r>
      <w:r>
        <w:rPr>
          <w:rFonts w:hint="eastAsia" w:ascii="楷体_GB2312" w:hAnsi="楷体_GB2312" w:eastAsia="楷体_GB2312" w:cs="楷体_GB2312"/>
          <w:highlight w:val="none"/>
        </w:rPr>
        <w:t>（类）</w:t>
      </w:r>
      <w:r>
        <w:rPr>
          <w:rFonts w:hint="eastAsia" w:ascii="楷体_GB2312" w:hAnsi="楷体_GB2312" w:eastAsia="楷体_GB2312" w:cs="楷体_GB2312"/>
          <w:highlight w:val="none"/>
          <w:lang w:eastAsia="zh-CN"/>
        </w:rPr>
        <w:t>财政事务</w:t>
      </w:r>
      <w:r>
        <w:rPr>
          <w:rFonts w:hint="eastAsia" w:ascii="楷体_GB2312" w:hAnsi="楷体_GB2312" w:eastAsia="楷体_GB2312" w:cs="楷体_GB2312"/>
          <w:highlight w:val="none"/>
        </w:rPr>
        <w:t>（款）</w:t>
      </w:r>
      <w:r>
        <w:rPr>
          <w:rFonts w:hint="eastAsia" w:ascii="楷体_GB2312" w:hAnsi="楷体_GB2312" w:eastAsia="楷体_GB2312" w:cs="楷体_GB2312"/>
          <w:highlight w:val="none"/>
          <w:lang w:eastAsia="zh-CN"/>
        </w:rPr>
        <w:t>行政运行（项）</w:t>
      </w:r>
      <w:r>
        <w:rPr>
          <w:rFonts w:hint="eastAsia"/>
          <w:highlight w:val="none"/>
          <w:lang w:eastAsia="zh-CN"/>
        </w:rPr>
        <w:t>：指行政行政单位（包括实行公务员管理的事业单位）的基本支出。</w:t>
      </w:r>
    </w:p>
    <w:p>
      <w:pPr>
        <w:pageBreakBefore w:val="0"/>
        <w:kinsoku/>
        <w:wordWrap/>
        <w:overflowPunct/>
        <w:topLinePunct w:val="0"/>
        <w:bidi w:val="0"/>
        <w:snapToGrid/>
        <w:spacing w:line="580" w:lineRule="exact"/>
        <w:ind w:firstLine="640" w:firstLineChars="200"/>
        <w:textAlignment w:val="auto"/>
        <w:rPr>
          <w:rFonts w:hint="eastAsia"/>
          <w:highlight w:val="none"/>
          <w:lang w:eastAsia="zh-CN"/>
        </w:rPr>
      </w:pPr>
      <w:r>
        <w:rPr>
          <w:rFonts w:hint="eastAsia" w:ascii="楷体_GB2312" w:hAnsi="楷体_GB2312" w:eastAsia="楷体_GB2312" w:cs="楷体_GB2312"/>
          <w:highlight w:val="none"/>
          <w:lang w:val="en-US" w:eastAsia="zh-CN"/>
        </w:rPr>
        <w:t>（二十）一般公共服务支出</w:t>
      </w:r>
      <w:r>
        <w:rPr>
          <w:rFonts w:hint="eastAsia" w:ascii="楷体_GB2312" w:hAnsi="楷体_GB2312" w:eastAsia="楷体_GB2312" w:cs="楷体_GB2312"/>
          <w:highlight w:val="none"/>
        </w:rPr>
        <w:t>（类）</w:t>
      </w:r>
      <w:r>
        <w:rPr>
          <w:rFonts w:hint="eastAsia" w:ascii="楷体_GB2312" w:hAnsi="楷体_GB2312" w:eastAsia="楷体_GB2312" w:cs="楷体_GB2312"/>
          <w:highlight w:val="none"/>
          <w:lang w:eastAsia="zh-CN"/>
        </w:rPr>
        <w:t>财政事务</w:t>
      </w:r>
      <w:r>
        <w:rPr>
          <w:rFonts w:hint="eastAsia" w:ascii="楷体_GB2312" w:hAnsi="楷体_GB2312" w:eastAsia="楷体_GB2312" w:cs="楷体_GB2312"/>
          <w:highlight w:val="none"/>
        </w:rPr>
        <w:t>（款）</w:t>
      </w:r>
      <w:r>
        <w:rPr>
          <w:rFonts w:hint="eastAsia" w:ascii="楷体_GB2312" w:hAnsi="楷体_GB2312" w:eastAsia="楷体_GB2312" w:cs="楷体_GB2312"/>
          <w:highlight w:val="none"/>
          <w:lang w:eastAsia="zh-CN"/>
        </w:rPr>
        <w:t>其他财政事务支出（项）</w:t>
      </w:r>
      <w:r>
        <w:rPr>
          <w:rFonts w:hint="eastAsia"/>
          <w:highlight w:val="none"/>
          <w:lang w:eastAsia="zh-CN"/>
        </w:rPr>
        <w:t>：指除上述项目以外其他财政事务方面的支出；</w:t>
      </w:r>
    </w:p>
    <w:p>
      <w:pPr>
        <w:pageBreakBefore w:val="0"/>
        <w:kinsoku/>
        <w:wordWrap/>
        <w:overflowPunct/>
        <w:topLinePunct w:val="0"/>
        <w:bidi w:val="0"/>
        <w:snapToGrid/>
        <w:spacing w:line="580" w:lineRule="exact"/>
        <w:ind w:firstLine="640" w:firstLineChars="200"/>
        <w:textAlignment w:val="auto"/>
        <w:rPr>
          <w:rFonts w:hint="eastAsia"/>
          <w:highlight w:val="none"/>
          <w:lang w:eastAsia="zh-CN"/>
        </w:rPr>
      </w:pPr>
      <w:r>
        <w:rPr>
          <w:rFonts w:hint="eastAsia" w:ascii="楷体_GB2312" w:hAnsi="楷体_GB2312" w:eastAsia="楷体_GB2312" w:cs="楷体_GB2312"/>
          <w:highlight w:val="none"/>
          <w:lang w:val="en-US" w:eastAsia="zh-CN"/>
        </w:rPr>
        <w:t>（二十一）一般公共服务支出</w:t>
      </w:r>
      <w:r>
        <w:rPr>
          <w:rFonts w:hint="eastAsia" w:ascii="楷体_GB2312" w:hAnsi="楷体_GB2312" w:eastAsia="楷体_GB2312" w:cs="楷体_GB2312"/>
          <w:highlight w:val="none"/>
        </w:rPr>
        <w:t>（类）</w:t>
      </w:r>
      <w:r>
        <w:rPr>
          <w:rFonts w:hint="eastAsia" w:ascii="楷体_GB2312" w:hAnsi="楷体_GB2312" w:eastAsia="楷体_GB2312" w:cs="楷体_GB2312"/>
          <w:highlight w:val="none"/>
          <w:lang w:eastAsia="zh-CN"/>
        </w:rPr>
        <w:t>党委办公厅（室）及相关机构事务支出</w:t>
      </w:r>
      <w:r>
        <w:rPr>
          <w:rFonts w:hint="eastAsia" w:ascii="楷体_GB2312" w:hAnsi="楷体_GB2312" w:eastAsia="楷体_GB2312" w:cs="楷体_GB2312"/>
          <w:highlight w:val="none"/>
        </w:rPr>
        <w:t>（款）</w:t>
      </w:r>
      <w:r>
        <w:rPr>
          <w:rFonts w:hint="eastAsia" w:ascii="楷体_GB2312" w:hAnsi="楷体_GB2312" w:eastAsia="楷体_GB2312" w:cs="楷体_GB2312"/>
          <w:highlight w:val="none"/>
          <w:lang w:eastAsia="zh-CN"/>
        </w:rPr>
        <w:t>行政运行（项）</w:t>
      </w:r>
      <w:r>
        <w:rPr>
          <w:rFonts w:hint="eastAsia"/>
          <w:highlight w:val="none"/>
          <w:lang w:eastAsia="zh-CN"/>
        </w:rPr>
        <w:t>：指办公厅（室）及相关机构事务支出。</w:t>
      </w:r>
    </w:p>
    <w:p>
      <w:pPr>
        <w:pageBreakBefore w:val="0"/>
        <w:kinsoku/>
        <w:wordWrap/>
        <w:overflowPunct/>
        <w:topLinePunct w:val="0"/>
        <w:bidi w:val="0"/>
        <w:snapToGrid/>
        <w:spacing w:line="580" w:lineRule="exact"/>
        <w:ind w:firstLine="640" w:firstLineChars="200"/>
        <w:textAlignment w:val="auto"/>
        <w:rPr>
          <w:rFonts w:hint="eastAsia"/>
          <w:highlight w:val="none"/>
          <w:lang w:eastAsia="zh-CN"/>
        </w:rPr>
      </w:pPr>
      <w:r>
        <w:rPr>
          <w:rFonts w:hint="eastAsia" w:ascii="楷体_GB2312" w:hAnsi="楷体_GB2312" w:eastAsia="楷体_GB2312" w:cs="楷体_GB2312"/>
          <w:highlight w:val="none"/>
          <w:lang w:val="en-US" w:eastAsia="zh-CN"/>
        </w:rPr>
        <w:t>（二十二）一般公共服务支出</w:t>
      </w:r>
      <w:r>
        <w:rPr>
          <w:rFonts w:hint="eastAsia" w:ascii="楷体_GB2312" w:hAnsi="楷体_GB2312" w:eastAsia="楷体_GB2312" w:cs="楷体_GB2312"/>
          <w:highlight w:val="none"/>
        </w:rPr>
        <w:t>（类）</w:t>
      </w:r>
      <w:r>
        <w:rPr>
          <w:rFonts w:hint="eastAsia" w:ascii="楷体_GB2312" w:hAnsi="楷体_GB2312" w:eastAsia="楷体_GB2312" w:cs="楷体_GB2312"/>
          <w:highlight w:val="none"/>
          <w:lang w:eastAsia="zh-CN"/>
        </w:rPr>
        <w:t>党委办公厅（室）及相关机构事务支出</w:t>
      </w:r>
      <w:r>
        <w:rPr>
          <w:rFonts w:hint="eastAsia" w:ascii="楷体_GB2312" w:hAnsi="楷体_GB2312" w:eastAsia="楷体_GB2312" w:cs="楷体_GB2312"/>
          <w:highlight w:val="none"/>
        </w:rPr>
        <w:t>（款）</w:t>
      </w:r>
      <w:r>
        <w:rPr>
          <w:rFonts w:hint="eastAsia" w:ascii="楷体_GB2312" w:hAnsi="楷体_GB2312" w:eastAsia="楷体_GB2312" w:cs="楷体_GB2312"/>
          <w:highlight w:val="none"/>
          <w:lang w:eastAsia="zh-CN"/>
        </w:rPr>
        <w:t>事业运行（项）</w:t>
      </w:r>
      <w:r>
        <w:rPr>
          <w:rFonts w:hint="eastAsia"/>
          <w:highlight w:val="none"/>
          <w:lang w:eastAsia="zh-CN"/>
        </w:rPr>
        <w:t>：反映事业单位的基本支出，不包括行政单位（包括实行公务员管理的事业单位）后勤服务中心、医务室等附属事业单位。</w:t>
      </w:r>
    </w:p>
    <w:p>
      <w:pPr>
        <w:pageBreakBefore w:val="0"/>
        <w:kinsoku/>
        <w:wordWrap/>
        <w:overflowPunct/>
        <w:topLinePunct w:val="0"/>
        <w:bidi w:val="0"/>
        <w:snapToGrid/>
        <w:spacing w:line="580" w:lineRule="exact"/>
        <w:ind w:firstLine="640" w:firstLineChars="200"/>
        <w:textAlignment w:val="auto"/>
        <w:rPr>
          <w:rFonts w:hint="eastAsia"/>
          <w:highlight w:val="none"/>
          <w:lang w:eastAsia="zh-CN"/>
        </w:rPr>
      </w:pPr>
      <w:r>
        <w:rPr>
          <w:rFonts w:hint="eastAsia" w:ascii="楷体_GB2312" w:hAnsi="楷体_GB2312" w:eastAsia="楷体_GB2312" w:cs="楷体_GB2312"/>
          <w:highlight w:val="none"/>
          <w:lang w:val="en-US" w:eastAsia="zh-CN"/>
        </w:rPr>
        <w:t>（二十三）</w:t>
      </w:r>
      <w:r>
        <w:rPr>
          <w:rFonts w:hint="eastAsia" w:ascii="楷体_GB2312" w:hAnsi="楷体_GB2312" w:eastAsia="楷体_GB2312" w:cs="楷体_GB2312"/>
          <w:highlight w:val="none"/>
          <w:lang w:eastAsia="zh-CN"/>
        </w:rPr>
        <w:t>公共安全支出（类）公安（款）一般行政管理事务（项）：</w:t>
      </w:r>
      <w:r>
        <w:rPr>
          <w:rFonts w:hint="eastAsia"/>
          <w:highlight w:val="none"/>
          <w:lang w:eastAsia="zh-CN"/>
        </w:rPr>
        <w:t>指行政行政单位（包括实行公务员管理的事业单位）未单独设置项级科目的其他项目支出。</w:t>
      </w:r>
    </w:p>
    <w:p>
      <w:pPr>
        <w:pageBreakBefore w:val="0"/>
        <w:kinsoku/>
        <w:wordWrap/>
        <w:overflowPunct/>
        <w:topLinePunct w:val="0"/>
        <w:bidi w:val="0"/>
        <w:snapToGrid/>
        <w:spacing w:line="580" w:lineRule="exact"/>
        <w:ind w:firstLine="640" w:firstLineChars="200"/>
        <w:textAlignment w:val="auto"/>
        <w:rPr>
          <w:rFonts w:hint="eastAsia"/>
          <w:highlight w:val="none"/>
          <w:lang w:eastAsia="zh-CN"/>
        </w:rPr>
      </w:pPr>
      <w:r>
        <w:rPr>
          <w:rFonts w:hint="eastAsia" w:ascii="楷体_GB2312" w:hAnsi="楷体_GB2312" w:eastAsia="楷体_GB2312" w:cs="楷体_GB2312"/>
          <w:highlight w:val="none"/>
          <w:lang w:val="en-US" w:eastAsia="zh-CN"/>
        </w:rPr>
        <w:t>（二十四）</w:t>
      </w:r>
      <w:r>
        <w:rPr>
          <w:rFonts w:hint="eastAsia" w:ascii="楷体_GB2312" w:hAnsi="楷体_GB2312" w:eastAsia="楷体_GB2312" w:cs="楷体_GB2312"/>
          <w:highlight w:val="none"/>
          <w:lang w:eastAsia="zh-CN"/>
        </w:rPr>
        <w:t>公共安全支出（类）公安（款）其他公安支出（项）：</w:t>
      </w:r>
      <w:r>
        <w:rPr>
          <w:rFonts w:hint="eastAsia"/>
          <w:highlight w:val="none"/>
          <w:lang w:eastAsia="zh-CN"/>
        </w:rPr>
        <w:t>指行政行政单位（包括实行公务员管理的事业单位）的基本支出。</w:t>
      </w:r>
    </w:p>
    <w:p>
      <w:pPr>
        <w:pageBreakBefore w:val="0"/>
        <w:kinsoku/>
        <w:wordWrap/>
        <w:overflowPunct/>
        <w:topLinePunct w:val="0"/>
        <w:bidi w:val="0"/>
        <w:snapToGrid/>
        <w:spacing w:line="580" w:lineRule="exact"/>
        <w:ind w:firstLine="640" w:firstLineChars="200"/>
        <w:textAlignment w:val="auto"/>
        <w:rPr>
          <w:rFonts w:hint="eastAsia"/>
          <w:highlight w:val="none"/>
          <w:lang w:eastAsia="zh-CN"/>
        </w:rPr>
      </w:pPr>
      <w:r>
        <w:rPr>
          <w:rFonts w:hint="eastAsia" w:ascii="楷体_GB2312" w:hAnsi="楷体_GB2312" w:eastAsia="楷体_GB2312" w:cs="楷体_GB2312"/>
          <w:highlight w:val="none"/>
          <w:lang w:val="en-US" w:eastAsia="zh-CN"/>
        </w:rPr>
        <w:t>（二十五）文化</w:t>
      </w:r>
      <w:r>
        <w:rPr>
          <w:rFonts w:hint="eastAsia" w:ascii="楷体_GB2312" w:hAnsi="楷体_GB2312" w:eastAsia="楷体_GB2312" w:cs="楷体_GB2312"/>
          <w:highlight w:val="none"/>
          <w:lang w:eastAsia="zh-CN"/>
        </w:rPr>
        <w:t>旅游体育与传媒支出（类）文化和旅游（款）其他文化和旅游支出（项）</w:t>
      </w:r>
      <w:r>
        <w:rPr>
          <w:rFonts w:hint="eastAsia"/>
          <w:highlight w:val="none"/>
          <w:lang w:eastAsia="zh-CN"/>
        </w:rPr>
        <w:t>：指除上述科目以外其他用于文化和旅游方面的支出。</w:t>
      </w:r>
    </w:p>
    <w:p>
      <w:pPr>
        <w:pageBreakBefore w:val="0"/>
        <w:kinsoku/>
        <w:wordWrap/>
        <w:overflowPunct/>
        <w:topLinePunct w:val="0"/>
        <w:bidi w:val="0"/>
        <w:snapToGrid/>
        <w:spacing w:line="580" w:lineRule="exact"/>
        <w:ind w:firstLine="640" w:firstLineChars="200"/>
        <w:textAlignment w:val="auto"/>
        <w:rPr>
          <w:rFonts w:hint="eastAsia"/>
          <w:highlight w:val="none"/>
          <w:lang w:eastAsia="zh-CN"/>
        </w:rPr>
      </w:pPr>
      <w:r>
        <w:rPr>
          <w:rFonts w:hint="eastAsia" w:ascii="楷体_GB2312" w:hAnsi="楷体_GB2312" w:eastAsia="楷体_GB2312" w:cs="楷体_GB2312"/>
          <w:highlight w:val="none"/>
          <w:lang w:val="en-US" w:eastAsia="zh-CN"/>
        </w:rPr>
        <w:t>（二十六）</w:t>
      </w:r>
      <w:r>
        <w:rPr>
          <w:rFonts w:hint="eastAsia" w:ascii="楷体_GB2312" w:hAnsi="楷体_GB2312" w:eastAsia="楷体_GB2312" w:cs="楷体_GB2312"/>
          <w:sz w:val="32"/>
          <w:szCs w:val="32"/>
          <w:highlight w:val="none"/>
          <w:lang w:val="en-US" w:eastAsia="zh-CN"/>
        </w:rPr>
        <w:t>社会保障和就业支出（类）行政事业单位养老支出（款）机关事业单位基本养老保险缴费支出（项）</w:t>
      </w:r>
      <w:r>
        <w:rPr>
          <w:rFonts w:hint="eastAsia"/>
          <w:highlight w:val="none"/>
          <w:lang w:eastAsia="zh-CN"/>
        </w:rPr>
        <w:t>：指机关事业单位实施养老保险制度由单位缴纳的基本养老保险费支出。</w:t>
      </w:r>
    </w:p>
    <w:p>
      <w:pPr>
        <w:pageBreakBefore w:val="0"/>
        <w:kinsoku/>
        <w:wordWrap/>
        <w:overflowPunct/>
        <w:topLinePunct w:val="0"/>
        <w:bidi w:val="0"/>
        <w:snapToGrid/>
        <w:spacing w:line="580" w:lineRule="exact"/>
        <w:ind w:firstLine="640" w:firstLineChars="200"/>
        <w:textAlignment w:val="auto"/>
        <w:rPr>
          <w:rFonts w:hint="eastAsia"/>
          <w:highlight w:val="none"/>
          <w:lang w:eastAsia="zh-CN"/>
        </w:rPr>
      </w:pPr>
      <w:r>
        <w:rPr>
          <w:rFonts w:hint="eastAsia" w:ascii="楷体_GB2312" w:hAnsi="楷体_GB2312" w:eastAsia="楷体_GB2312" w:cs="楷体_GB2312"/>
          <w:highlight w:val="none"/>
          <w:lang w:val="en-US" w:eastAsia="zh-CN"/>
        </w:rPr>
        <w:t>（二十七）</w:t>
      </w:r>
      <w:r>
        <w:rPr>
          <w:rFonts w:hint="eastAsia" w:ascii="楷体_GB2312" w:hAnsi="楷体_GB2312" w:eastAsia="楷体_GB2312" w:cs="楷体_GB2312"/>
          <w:sz w:val="32"/>
          <w:szCs w:val="32"/>
          <w:highlight w:val="none"/>
          <w:lang w:val="en-US" w:eastAsia="zh-CN"/>
        </w:rPr>
        <w:t>社会保障和就业支出（类）行政事业单位养老支出（款）机关事业单位职业年金缴费支出（项）</w:t>
      </w:r>
      <w:r>
        <w:rPr>
          <w:rFonts w:hint="eastAsia"/>
          <w:highlight w:val="none"/>
          <w:lang w:eastAsia="zh-CN"/>
        </w:rPr>
        <w:t>：指机关事业单位实施养老保险制度由单位实际缴纳的职业年金支出。</w:t>
      </w:r>
    </w:p>
    <w:p>
      <w:pPr>
        <w:pageBreakBefore w:val="0"/>
        <w:kinsoku/>
        <w:wordWrap/>
        <w:overflowPunct/>
        <w:topLinePunct w:val="0"/>
        <w:bidi w:val="0"/>
        <w:snapToGrid/>
        <w:spacing w:line="580" w:lineRule="exact"/>
        <w:ind w:firstLine="640" w:firstLineChars="200"/>
        <w:textAlignment w:val="auto"/>
        <w:rPr>
          <w:rFonts w:hint="eastAsia"/>
          <w:highlight w:val="none"/>
          <w:lang w:eastAsia="zh-CN"/>
        </w:rPr>
      </w:pPr>
      <w:r>
        <w:rPr>
          <w:rFonts w:hint="eastAsia" w:ascii="楷体_GB2312" w:hAnsi="楷体_GB2312" w:eastAsia="楷体_GB2312" w:cs="楷体_GB2312"/>
          <w:highlight w:val="none"/>
          <w:lang w:val="en-US" w:eastAsia="zh-CN"/>
        </w:rPr>
        <w:t>（二十八）</w:t>
      </w:r>
      <w:r>
        <w:rPr>
          <w:rFonts w:hint="eastAsia" w:ascii="楷体_GB2312" w:hAnsi="楷体_GB2312" w:eastAsia="楷体_GB2312" w:cs="楷体_GB2312"/>
          <w:highlight w:val="none"/>
          <w:lang w:eastAsia="zh-CN"/>
        </w:rPr>
        <w:t>社会保障和就业支出（类）就业补助（款）公益性岗位补贴（项）</w:t>
      </w:r>
      <w:r>
        <w:rPr>
          <w:rFonts w:hint="eastAsia"/>
          <w:highlight w:val="none"/>
          <w:lang w:eastAsia="zh-CN"/>
        </w:rPr>
        <w:t>：指财政对符合条件的就业困难人员在公益性岗位就业给与的岗位补贴支出。</w:t>
      </w:r>
    </w:p>
    <w:p>
      <w:pPr>
        <w:pageBreakBefore w:val="0"/>
        <w:kinsoku/>
        <w:wordWrap/>
        <w:overflowPunct/>
        <w:topLinePunct w:val="0"/>
        <w:bidi w:val="0"/>
        <w:snapToGrid/>
        <w:spacing w:line="580" w:lineRule="exact"/>
        <w:ind w:firstLine="640" w:firstLineChars="200"/>
        <w:textAlignment w:val="auto"/>
        <w:rPr>
          <w:rFonts w:hint="eastAsia"/>
          <w:highlight w:val="none"/>
          <w:lang w:eastAsia="zh-CN"/>
        </w:rPr>
      </w:pPr>
      <w:r>
        <w:rPr>
          <w:rFonts w:hint="eastAsia" w:ascii="楷体_GB2312" w:hAnsi="楷体_GB2312" w:eastAsia="楷体_GB2312" w:cs="楷体_GB2312"/>
          <w:highlight w:val="none"/>
          <w:lang w:val="en-US" w:eastAsia="zh-CN"/>
        </w:rPr>
        <w:t>（二十九）</w:t>
      </w:r>
      <w:r>
        <w:rPr>
          <w:rFonts w:hint="eastAsia" w:ascii="楷体_GB2312" w:hAnsi="楷体_GB2312" w:eastAsia="楷体_GB2312" w:cs="楷体_GB2312"/>
          <w:highlight w:val="none"/>
          <w:lang w:eastAsia="zh-CN"/>
        </w:rPr>
        <w:t>社会保障和就业支出（类）残疾人事业（款）其他残疾人事业支出（项）</w:t>
      </w:r>
      <w:r>
        <w:rPr>
          <w:rFonts w:hint="eastAsia"/>
          <w:highlight w:val="none"/>
          <w:lang w:eastAsia="zh-CN"/>
        </w:rPr>
        <w:t>：指除上述项目以外其他用于残疾人事业方面的支出。</w:t>
      </w:r>
    </w:p>
    <w:p>
      <w:pPr>
        <w:pageBreakBefore w:val="0"/>
        <w:kinsoku/>
        <w:wordWrap/>
        <w:overflowPunct/>
        <w:topLinePunct w:val="0"/>
        <w:bidi w:val="0"/>
        <w:snapToGrid/>
        <w:spacing w:line="580" w:lineRule="exact"/>
        <w:ind w:firstLine="640" w:firstLineChars="200"/>
        <w:textAlignment w:val="auto"/>
        <w:rPr>
          <w:rFonts w:hint="eastAsia"/>
          <w:highlight w:val="none"/>
          <w:lang w:eastAsia="zh-CN"/>
        </w:rPr>
      </w:pPr>
      <w:r>
        <w:rPr>
          <w:rFonts w:hint="eastAsia" w:ascii="楷体_GB2312" w:hAnsi="楷体_GB2312" w:eastAsia="楷体_GB2312" w:cs="楷体_GB2312"/>
          <w:highlight w:val="none"/>
          <w:lang w:val="en-US" w:eastAsia="zh-CN"/>
        </w:rPr>
        <w:t>（三十）</w:t>
      </w:r>
      <w:r>
        <w:rPr>
          <w:rFonts w:hint="eastAsia" w:ascii="楷体_GB2312" w:hAnsi="楷体_GB2312" w:eastAsia="楷体_GB2312" w:cs="楷体_GB2312"/>
          <w:highlight w:val="none"/>
          <w:lang w:eastAsia="zh-CN"/>
        </w:rPr>
        <w:t>社会保障和就业支出（类）财政对其他社会保险基金的补助（款）财政对失业保险基金的补助（项）</w:t>
      </w:r>
      <w:r>
        <w:rPr>
          <w:rFonts w:hint="eastAsia"/>
          <w:highlight w:val="none"/>
          <w:lang w:eastAsia="zh-CN"/>
        </w:rPr>
        <w:t>：指财政对失业保险基金的补助支出。</w:t>
      </w:r>
    </w:p>
    <w:p>
      <w:pPr>
        <w:pageBreakBefore w:val="0"/>
        <w:kinsoku/>
        <w:wordWrap/>
        <w:overflowPunct/>
        <w:topLinePunct w:val="0"/>
        <w:bidi w:val="0"/>
        <w:snapToGrid/>
        <w:spacing w:line="580" w:lineRule="exact"/>
        <w:ind w:firstLine="640" w:firstLineChars="200"/>
        <w:textAlignment w:val="auto"/>
        <w:rPr>
          <w:rFonts w:hint="eastAsia"/>
          <w:highlight w:val="none"/>
          <w:lang w:eastAsia="zh-CN"/>
        </w:rPr>
      </w:pPr>
      <w:r>
        <w:rPr>
          <w:rFonts w:hint="eastAsia" w:ascii="楷体_GB2312" w:hAnsi="楷体_GB2312" w:eastAsia="楷体_GB2312" w:cs="楷体_GB2312"/>
          <w:highlight w:val="none"/>
          <w:lang w:val="en-US" w:eastAsia="zh-CN"/>
        </w:rPr>
        <w:t>（三十一）</w:t>
      </w:r>
      <w:r>
        <w:rPr>
          <w:rFonts w:hint="eastAsia" w:ascii="楷体_GB2312" w:hAnsi="楷体_GB2312" w:eastAsia="楷体_GB2312" w:cs="楷体_GB2312"/>
          <w:highlight w:val="none"/>
          <w:lang w:eastAsia="zh-CN"/>
        </w:rPr>
        <w:t>社会保障和就业支出（类）财政对其他社会保险基金的补助（款）财政对工伤保险基金的补助（项）</w:t>
      </w:r>
      <w:r>
        <w:rPr>
          <w:rFonts w:hint="eastAsia"/>
          <w:highlight w:val="none"/>
          <w:lang w:eastAsia="zh-CN"/>
        </w:rPr>
        <w:t>：指财政对工伤保险基金的补助支出。</w:t>
      </w:r>
    </w:p>
    <w:p>
      <w:pPr>
        <w:pageBreakBefore w:val="0"/>
        <w:kinsoku/>
        <w:wordWrap/>
        <w:overflowPunct/>
        <w:topLinePunct w:val="0"/>
        <w:bidi w:val="0"/>
        <w:snapToGrid/>
        <w:spacing w:line="580" w:lineRule="exact"/>
        <w:ind w:firstLine="640" w:firstLineChars="200"/>
        <w:textAlignment w:val="auto"/>
        <w:rPr>
          <w:rFonts w:hint="eastAsia"/>
          <w:highlight w:val="none"/>
          <w:lang w:eastAsia="zh-CN"/>
        </w:rPr>
      </w:pPr>
      <w:r>
        <w:rPr>
          <w:rFonts w:hint="eastAsia" w:ascii="楷体_GB2312" w:hAnsi="楷体_GB2312" w:eastAsia="楷体_GB2312" w:cs="楷体_GB2312"/>
          <w:highlight w:val="none"/>
          <w:lang w:val="en-US" w:eastAsia="zh-CN"/>
        </w:rPr>
        <w:t>（三十二）</w:t>
      </w:r>
      <w:r>
        <w:rPr>
          <w:rFonts w:hint="eastAsia" w:ascii="楷体_GB2312" w:hAnsi="楷体_GB2312" w:eastAsia="楷体_GB2312" w:cs="楷体_GB2312"/>
          <w:highlight w:val="none"/>
          <w:lang w:eastAsia="zh-CN"/>
        </w:rPr>
        <w:t>社会保障和就业支出（类）退役军人事务管理（款）事业运行（项）</w:t>
      </w:r>
      <w:r>
        <w:rPr>
          <w:rFonts w:hint="eastAsia"/>
          <w:highlight w:val="none"/>
          <w:lang w:eastAsia="zh-CN"/>
        </w:rPr>
        <w:t>：指事业单位的基本支出，不包括行政单位（包括实行公务员管理的事业单位）后勤服务中心、医务室等附属事业单位。</w:t>
      </w:r>
    </w:p>
    <w:p>
      <w:pPr>
        <w:pageBreakBefore w:val="0"/>
        <w:kinsoku/>
        <w:wordWrap/>
        <w:overflowPunct/>
        <w:topLinePunct w:val="0"/>
        <w:bidi w:val="0"/>
        <w:snapToGrid/>
        <w:spacing w:line="580" w:lineRule="exact"/>
        <w:ind w:firstLine="640" w:firstLineChars="200"/>
        <w:textAlignment w:val="auto"/>
        <w:rPr>
          <w:rFonts w:hint="eastAsia"/>
          <w:highlight w:val="none"/>
          <w:lang w:eastAsia="zh-CN"/>
        </w:rPr>
      </w:pPr>
      <w:r>
        <w:rPr>
          <w:rFonts w:hint="eastAsia" w:ascii="楷体_GB2312" w:hAnsi="楷体_GB2312" w:eastAsia="楷体_GB2312" w:cs="楷体_GB2312"/>
          <w:highlight w:val="none"/>
          <w:lang w:val="en-US" w:eastAsia="zh-CN"/>
        </w:rPr>
        <w:t>（三十三）</w:t>
      </w:r>
      <w:r>
        <w:rPr>
          <w:rFonts w:hint="eastAsia" w:ascii="楷体_GB2312" w:hAnsi="楷体_GB2312" w:eastAsia="楷体_GB2312" w:cs="楷体_GB2312"/>
          <w:highlight w:val="none"/>
          <w:lang w:eastAsia="zh-CN"/>
        </w:rPr>
        <w:t>卫生健康支出（类）行政事业单位医疗（款）行政单位医疗（项）</w:t>
      </w:r>
      <w:r>
        <w:rPr>
          <w:rFonts w:hint="eastAsia"/>
          <w:highlight w:val="none"/>
          <w:lang w:eastAsia="zh-CN"/>
        </w:rPr>
        <w:t>：指财政部门安排的行政单位（包括实行公务员管理的事业）基本医疗保险缴费经费，未参加医疗保险的行政单位的公费医疗经费，按国家规定享受离休人员、红军老战士待遇人员的医疗经费。</w:t>
      </w:r>
    </w:p>
    <w:p>
      <w:pPr>
        <w:pageBreakBefore w:val="0"/>
        <w:kinsoku/>
        <w:wordWrap/>
        <w:overflowPunct/>
        <w:topLinePunct w:val="0"/>
        <w:bidi w:val="0"/>
        <w:snapToGrid/>
        <w:spacing w:line="580" w:lineRule="exact"/>
        <w:ind w:firstLine="640" w:firstLineChars="200"/>
        <w:textAlignment w:val="auto"/>
        <w:rPr>
          <w:rFonts w:hint="eastAsia"/>
          <w:highlight w:val="none"/>
          <w:lang w:eastAsia="zh-CN"/>
        </w:rPr>
      </w:pPr>
      <w:r>
        <w:rPr>
          <w:rFonts w:hint="eastAsia" w:ascii="楷体_GB2312" w:hAnsi="楷体_GB2312" w:eastAsia="楷体_GB2312" w:cs="楷体_GB2312"/>
          <w:highlight w:val="none"/>
          <w:lang w:val="en-US" w:eastAsia="zh-CN"/>
        </w:rPr>
        <w:t>（三十四）</w:t>
      </w:r>
      <w:r>
        <w:rPr>
          <w:rFonts w:hint="eastAsia" w:ascii="楷体_GB2312" w:hAnsi="楷体_GB2312" w:eastAsia="楷体_GB2312" w:cs="楷体_GB2312"/>
          <w:highlight w:val="none"/>
          <w:lang w:eastAsia="zh-CN"/>
        </w:rPr>
        <w:t>卫生健康支出（类）行政事业单位医疗（款）事业单位医疗（项）</w:t>
      </w:r>
      <w:r>
        <w:rPr>
          <w:rFonts w:hint="eastAsia"/>
          <w:highlight w:val="none"/>
          <w:lang w:eastAsia="zh-CN"/>
        </w:rPr>
        <w:t>：反映财政部门安排的事业单位基本医疗保险缴费经费，未参加医疗保险的事业单位的公费医疗经费，按国家规定享受离休人员待遇的医疗经费。</w:t>
      </w:r>
    </w:p>
    <w:p>
      <w:pPr>
        <w:pageBreakBefore w:val="0"/>
        <w:kinsoku/>
        <w:wordWrap/>
        <w:overflowPunct/>
        <w:topLinePunct w:val="0"/>
        <w:bidi w:val="0"/>
        <w:snapToGrid/>
        <w:spacing w:line="580" w:lineRule="exact"/>
        <w:ind w:firstLine="640" w:firstLineChars="200"/>
        <w:textAlignment w:val="auto"/>
        <w:rPr>
          <w:rFonts w:hint="eastAsia"/>
          <w:highlight w:val="none"/>
          <w:lang w:eastAsia="zh-CN"/>
        </w:rPr>
      </w:pPr>
      <w:r>
        <w:rPr>
          <w:rFonts w:hint="eastAsia" w:ascii="楷体_GB2312" w:hAnsi="楷体_GB2312" w:eastAsia="楷体_GB2312" w:cs="楷体_GB2312"/>
          <w:highlight w:val="none"/>
          <w:lang w:val="en-US" w:eastAsia="zh-CN"/>
        </w:rPr>
        <w:t>（三十五）</w:t>
      </w:r>
      <w:r>
        <w:rPr>
          <w:rFonts w:hint="eastAsia" w:ascii="楷体_GB2312" w:hAnsi="楷体_GB2312" w:eastAsia="楷体_GB2312" w:cs="楷体_GB2312"/>
          <w:highlight w:val="none"/>
          <w:lang w:eastAsia="zh-CN"/>
        </w:rPr>
        <w:t>卫生健康支出（类）行政事业单位医疗（款）公务员医疗补助（项）：</w:t>
      </w:r>
      <w:r>
        <w:rPr>
          <w:rFonts w:hint="eastAsia"/>
          <w:highlight w:val="none"/>
          <w:lang w:eastAsia="zh-CN"/>
        </w:rPr>
        <w:t>指财政部门安排的公务员医疗补助经费。</w:t>
      </w:r>
    </w:p>
    <w:p>
      <w:pPr>
        <w:pageBreakBefore w:val="0"/>
        <w:kinsoku/>
        <w:wordWrap/>
        <w:overflowPunct/>
        <w:topLinePunct w:val="0"/>
        <w:bidi w:val="0"/>
        <w:snapToGrid/>
        <w:spacing w:line="580" w:lineRule="exact"/>
        <w:ind w:firstLine="640" w:firstLineChars="200"/>
        <w:textAlignment w:val="auto"/>
        <w:rPr>
          <w:rFonts w:hint="eastAsia"/>
          <w:highlight w:val="none"/>
          <w:lang w:val="en-US" w:eastAsia="zh-CN"/>
        </w:rPr>
      </w:pPr>
      <w:r>
        <w:rPr>
          <w:rFonts w:hint="eastAsia" w:ascii="楷体_GB2312" w:hAnsi="楷体_GB2312" w:eastAsia="楷体_GB2312" w:cs="楷体_GB2312"/>
          <w:highlight w:val="none"/>
          <w:lang w:val="en-US" w:eastAsia="zh-CN"/>
        </w:rPr>
        <w:t>（三十六）</w:t>
      </w:r>
      <w:r>
        <w:rPr>
          <w:rFonts w:hint="eastAsia" w:ascii="楷体_GB2312" w:hAnsi="楷体_GB2312" w:eastAsia="楷体_GB2312" w:cs="楷体_GB2312"/>
          <w:highlight w:val="none"/>
          <w:lang w:eastAsia="zh-CN"/>
        </w:rPr>
        <w:t>城乡社区支出（类）城乡社区管理事务（款）行政运行（项）</w:t>
      </w:r>
      <w:r>
        <w:rPr>
          <w:rFonts w:hint="eastAsia"/>
          <w:highlight w:val="none"/>
          <w:lang w:eastAsia="zh-CN"/>
        </w:rPr>
        <w:t>：指行政单位（包括实行公务员管理的事业单位）的基本支出。</w:t>
      </w:r>
    </w:p>
    <w:p>
      <w:pPr>
        <w:pageBreakBefore w:val="0"/>
        <w:kinsoku/>
        <w:wordWrap/>
        <w:overflowPunct/>
        <w:topLinePunct w:val="0"/>
        <w:bidi w:val="0"/>
        <w:snapToGrid/>
        <w:spacing w:line="580" w:lineRule="exact"/>
        <w:ind w:firstLine="640" w:firstLineChars="200"/>
        <w:textAlignment w:val="auto"/>
        <w:rPr>
          <w:rFonts w:hint="eastAsia"/>
          <w:highlight w:val="none"/>
          <w:lang w:val="en-US" w:eastAsia="zh-CN"/>
        </w:rPr>
      </w:pPr>
      <w:r>
        <w:rPr>
          <w:rFonts w:hint="eastAsia" w:ascii="楷体_GB2312" w:hAnsi="楷体_GB2312" w:eastAsia="楷体_GB2312" w:cs="楷体_GB2312"/>
          <w:highlight w:val="none"/>
          <w:lang w:val="en-US" w:eastAsia="zh-CN"/>
        </w:rPr>
        <w:t>（三十七）</w:t>
      </w:r>
      <w:r>
        <w:rPr>
          <w:rFonts w:hint="eastAsia" w:ascii="楷体_GB2312" w:hAnsi="楷体_GB2312" w:eastAsia="楷体_GB2312" w:cs="楷体_GB2312"/>
          <w:highlight w:val="none"/>
          <w:lang w:eastAsia="zh-CN"/>
        </w:rPr>
        <w:t>城乡社区支出（类）城乡社区环境卫生（款）城乡社区环境卫生（项）</w:t>
      </w:r>
      <w:r>
        <w:rPr>
          <w:rFonts w:hint="eastAsia"/>
          <w:highlight w:val="none"/>
          <w:lang w:eastAsia="zh-CN"/>
        </w:rPr>
        <w:t>：指城乡社区道路清扫、垃圾清运与处理、公厕建设与维护、园林绿化等方面的支出。</w:t>
      </w:r>
    </w:p>
    <w:p>
      <w:pPr>
        <w:pageBreakBefore w:val="0"/>
        <w:kinsoku/>
        <w:wordWrap/>
        <w:overflowPunct/>
        <w:topLinePunct w:val="0"/>
        <w:bidi w:val="0"/>
        <w:snapToGrid/>
        <w:spacing w:line="580" w:lineRule="exact"/>
        <w:ind w:firstLine="640" w:firstLineChars="200"/>
        <w:textAlignment w:val="auto"/>
        <w:rPr>
          <w:rFonts w:hint="eastAsia"/>
          <w:lang w:eastAsia="zh-CN"/>
        </w:rPr>
      </w:pPr>
      <w:r>
        <w:rPr>
          <w:rFonts w:hint="eastAsia" w:ascii="楷体_GB2312" w:hAnsi="楷体_GB2312" w:eastAsia="楷体_GB2312" w:cs="楷体_GB2312"/>
          <w:lang w:val="en-US" w:eastAsia="zh-CN"/>
        </w:rPr>
        <w:t>（</w:t>
      </w:r>
      <w:r>
        <w:rPr>
          <w:rFonts w:hint="eastAsia" w:ascii="楷体_GB2312" w:hAnsi="楷体_GB2312" w:eastAsia="楷体_GB2312" w:cs="楷体_GB2312"/>
          <w:highlight w:val="none"/>
          <w:lang w:val="en-US" w:eastAsia="zh-CN"/>
        </w:rPr>
        <w:t>三十八</w:t>
      </w:r>
      <w:r>
        <w:rPr>
          <w:rFonts w:hint="eastAsia" w:ascii="楷体_GB2312" w:hAnsi="楷体_GB2312" w:eastAsia="楷体_GB2312" w:cs="楷体_GB2312"/>
          <w:lang w:val="en-US" w:eastAsia="zh-CN"/>
        </w:rPr>
        <w:t>）农林水支出（类）农业农村（款）事业运行（项）：</w:t>
      </w:r>
      <w:r>
        <w:rPr>
          <w:rFonts w:hint="eastAsia"/>
          <w:lang w:eastAsia="zh-CN"/>
        </w:rPr>
        <w:t>反映用于农业事业单位基本支出，事业单位设施、系统运行与资产维护等方面的支出。</w:t>
      </w:r>
    </w:p>
    <w:p>
      <w:pPr>
        <w:pageBreakBefore w:val="0"/>
        <w:kinsoku/>
        <w:wordWrap/>
        <w:overflowPunct/>
        <w:topLinePunct w:val="0"/>
        <w:bidi w:val="0"/>
        <w:snapToGrid/>
        <w:spacing w:line="580" w:lineRule="exact"/>
        <w:ind w:firstLine="640" w:firstLineChars="200"/>
        <w:textAlignment w:val="auto"/>
        <w:rPr>
          <w:rFonts w:hint="eastAsia"/>
          <w:lang w:val="en-US" w:eastAsia="zh-CN"/>
        </w:rPr>
      </w:pPr>
      <w:r>
        <w:rPr>
          <w:rFonts w:hint="eastAsia" w:ascii="楷体_GB2312" w:hAnsi="楷体_GB2312" w:eastAsia="楷体_GB2312" w:cs="楷体_GB2312"/>
          <w:lang w:val="en-US" w:eastAsia="zh-CN"/>
        </w:rPr>
        <w:t>（</w:t>
      </w:r>
      <w:r>
        <w:rPr>
          <w:rFonts w:hint="eastAsia" w:ascii="楷体_GB2312" w:hAnsi="楷体_GB2312" w:eastAsia="楷体_GB2312" w:cs="楷体_GB2312"/>
          <w:highlight w:val="none"/>
          <w:lang w:val="en-US" w:eastAsia="zh-CN"/>
        </w:rPr>
        <w:t>三十九</w:t>
      </w:r>
      <w:r>
        <w:rPr>
          <w:rFonts w:hint="eastAsia" w:ascii="楷体_GB2312" w:hAnsi="楷体_GB2312" w:eastAsia="楷体_GB2312" w:cs="楷体_GB2312"/>
          <w:lang w:val="en-US" w:eastAsia="zh-CN"/>
        </w:rPr>
        <w:t>）农林水支出（类）农村综合改革（款）对村民委员会和村党支部的补助（项）</w:t>
      </w:r>
      <w:r>
        <w:rPr>
          <w:rFonts w:hint="eastAsia"/>
          <w:lang w:val="en-US" w:eastAsia="zh-CN"/>
        </w:rPr>
        <w:t>：指各级财政对村民委员会和党支部的补助支出，以及支持建立县级基本财力保障机制安排的村级组织运转奖补资。</w:t>
      </w:r>
    </w:p>
    <w:p>
      <w:pPr>
        <w:pageBreakBefore w:val="0"/>
        <w:kinsoku/>
        <w:wordWrap/>
        <w:overflowPunct/>
        <w:topLinePunct w:val="0"/>
        <w:bidi w:val="0"/>
        <w:snapToGrid/>
        <w:spacing w:line="580" w:lineRule="exact"/>
        <w:ind w:firstLine="640" w:firstLineChars="200"/>
        <w:textAlignment w:val="auto"/>
        <w:rPr>
          <w:rFonts w:hint="eastAsia"/>
          <w:lang w:val="en-US" w:eastAsia="zh-CN"/>
        </w:rPr>
      </w:pPr>
      <w:r>
        <w:rPr>
          <w:rFonts w:hint="eastAsia" w:ascii="楷体_GB2312" w:hAnsi="楷体_GB2312" w:eastAsia="楷体_GB2312" w:cs="楷体_GB2312"/>
          <w:lang w:val="en-US" w:eastAsia="zh-CN"/>
        </w:rPr>
        <w:t>（</w:t>
      </w:r>
      <w:r>
        <w:rPr>
          <w:rFonts w:hint="eastAsia" w:ascii="楷体_GB2312" w:hAnsi="楷体_GB2312" w:eastAsia="楷体_GB2312" w:cs="楷体_GB2312"/>
          <w:highlight w:val="none"/>
          <w:lang w:val="en-US" w:eastAsia="zh-CN"/>
        </w:rPr>
        <w:t>四十</w:t>
      </w:r>
      <w:r>
        <w:rPr>
          <w:rFonts w:hint="eastAsia" w:ascii="楷体_GB2312" w:hAnsi="楷体_GB2312" w:eastAsia="楷体_GB2312" w:cs="楷体_GB2312"/>
          <w:lang w:val="en-US" w:eastAsia="zh-CN"/>
        </w:rPr>
        <w:t>）住房保障支出（类）住房改革支出（款）住房公积金（项）：</w:t>
      </w:r>
      <w:r>
        <w:rPr>
          <w:rFonts w:hint="eastAsia"/>
          <w:lang w:val="en-US" w:eastAsia="zh-CN"/>
        </w:rPr>
        <w:t>反映行政事业单位按人力资源和社会保障部、财政部规定的基本工资和津贴补贴以及规定比例为职工缴纳的住房公积。</w:t>
      </w:r>
    </w:p>
    <w:p>
      <w:pPr>
        <w:pageBreakBefore w:val="0"/>
        <w:kinsoku/>
        <w:wordWrap/>
        <w:overflowPunct/>
        <w:topLinePunct w:val="0"/>
        <w:bidi w:val="0"/>
        <w:snapToGrid/>
        <w:spacing w:line="580" w:lineRule="exact"/>
        <w:ind w:firstLine="640" w:firstLineChars="200"/>
        <w:textAlignment w:val="auto"/>
        <w:rPr>
          <w:rFonts w:hint="eastAsia"/>
          <w:lang w:val="en-US" w:eastAsia="zh-CN"/>
        </w:rPr>
      </w:pPr>
      <w:r>
        <w:rPr>
          <w:rFonts w:hint="eastAsia" w:ascii="楷体_GB2312" w:hAnsi="楷体_GB2312" w:eastAsia="楷体_GB2312" w:cs="楷体_GB2312"/>
          <w:lang w:val="en-US" w:eastAsia="zh-CN"/>
        </w:rPr>
        <w:t>（四十一）灾害防治及应急管理支出（类）应急管理事务（款）安全监管（项）</w:t>
      </w:r>
      <w:r>
        <w:rPr>
          <w:rFonts w:hint="eastAsia"/>
          <w:lang w:val="en-US" w:eastAsia="zh-CN"/>
        </w:rPr>
        <w:t>：</w:t>
      </w:r>
      <w:r>
        <w:rPr>
          <w:rFonts w:hint="eastAsia"/>
          <w:lang w:eastAsia="zh-CN"/>
        </w:rPr>
        <w:t>指安全生产综合监督管理和工贸行业安全生产监督管理等方面的支出。</w:t>
      </w:r>
    </w:p>
    <w:p>
      <w:pPr>
        <w:pageBreakBefore w:val="0"/>
        <w:kinsoku/>
        <w:wordWrap/>
        <w:overflowPunct/>
        <w:topLinePunct w:val="0"/>
        <w:bidi w:val="0"/>
        <w:snapToGrid/>
        <w:spacing w:line="580" w:lineRule="exact"/>
        <w:ind w:firstLine="640" w:firstLineChars="200"/>
        <w:textAlignment w:val="auto"/>
        <w:rPr>
          <w:rFonts w:hint="eastAsia"/>
          <w:lang w:eastAsia="zh-CN"/>
        </w:rPr>
      </w:pPr>
      <w:r>
        <w:rPr>
          <w:rFonts w:hint="eastAsia" w:ascii="楷体_GB2312" w:hAnsi="楷体_GB2312" w:eastAsia="楷体_GB2312" w:cs="楷体_GB2312"/>
          <w:lang w:val="en-US" w:eastAsia="zh-CN"/>
        </w:rPr>
        <w:t>（</w:t>
      </w:r>
      <w:r>
        <w:rPr>
          <w:rFonts w:hint="eastAsia" w:ascii="楷体_GB2312" w:hAnsi="楷体_GB2312" w:eastAsia="楷体_GB2312" w:cs="楷体_GB2312"/>
          <w:highlight w:val="none"/>
          <w:lang w:val="en-US" w:eastAsia="zh-CN"/>
        </w:rPr>
        <w:t>四十二</w:t>
      </w:r>
      <w:r>
        <w:rPr>
          <w:rFonts w:hint="eastAsia" w:ascii="楷体_GB2312" w:hAnsi="楷体_GB2312" w:eastAsia="楷体_GB2312" w:cs="楷体_GB2312"/>
          <w:lang w:val="en-US" w:eastAsia="zh-CN"/>
        </w:rPr>
        <w:t>）预备费（类）</w:t>
      </w:r>
      <w:r>
        <w:rPr>
          <w:rFonts w:hint="eastAsia"/>
          <w:lang w:val="en-US" w:eastAsia="zh-CN"/>
        </w:rPr>
        <w:t>：</w:t>
      </w:r>
      <w:r>
        <w:rPr>
          <w:rFonts w:hint="eastAsia"/>
          <w:lang w:eastAsia="zh-CN"/>
        </w:rPr>
        <w:t>指反映预算中安排的预备费。</w:t>
      </w:r>
    </w:p>
    <w:p>
      <w:pPr>
        <w:pageBreakBefore w:val="0"/>
        <w:kinsoku/>
        <w:wordWrap/>
        <w:overflowPunct/>
        <w:topLinePunct w:val="0"/>
        <w:bidi w:val="0"/>
        <w:snapToGrid/>
        <w:spacing w:line="580" w:lineRule="exact"/>
        <w:ind w:firstLine="640" w:firstLineChars="200"/>
        <w:textAlignment w:val="auto"/>
        <w:rPr>
          <w:rFonts w:hint="eastAsia"/>
          <w:lang w:val="en-US" w:eastAsia="zh-CN"/>
        </w:rPr>
      </w:pPr>
      <w:r>
        <w:rPr>
          <w:rFonts w:hint="eastAsia" w:ascii="楷体_GB2312" w:hAnsi="楷体_GB2312" w:eastAsia="楷体_GB2312" w:cs="楷体_GB2312"/>
          <w:lang w:val="en-US" w:eastAsia="zh-CN"/>
        </w:rPr>
        <w:t>（四十三）城乡社区支出（类）国有土地使用权出让收入安排的支出（款）土地出让业务支出（项）</w:t>
      </w:r>
      <w:r>
        <w:rPr>
          <w:rFonts w:hint="eastAsia"/>
          <w:lang w:val="en-US" w:eastAsia="zh-CN"/>
        </w:rPr>
        <w:t>：</w:t>
      </w:r>
      <w:r>
        <w:rPr>
          <w:rFonts w:hint="eastAsia"/>
          <w:lang w:eastAsia="zh-CN"/>
        </w:rPr>
        <w:t>反映土地出让收入用于土地出让业务费用的开支。</w:t>
      </w:r>
    </w:p>
    <w:p>
      <w:pPr>
        <w:pageBreakBefore w:val="0"/>
        <w:kinsoku/>
        <w:wordWrap/>
        <w:overflowPunct/>
        <w:topLinePunct w:val="0"/>
        <w:bidi w:val="0"/>
        <w:snapToGrid/>
        <w:spacing w:line="580" w:lineRule="exact"/>
        <w:ind w:firstLine="640" w:firstLineChars="200"/>
        <w:textAlignment w:val="auto"/>
        <w:rPr>
          <w:rFonts w:hint="eastAsia"/>
          <w:lang w:val="en-US" w:eastAsia="zh-CN"/>
        </w:rPr>
      </w:pPr>
      <w:r>
        <w:rPr>
          <w:rFonts w:hint="eastAsia" w:ascii="楷体_GB2312" w:hAnsi="楷体_GB2312" w:eastAsia="楷体_GB2312" w:cs="楷体_GB2312"/>
          <w:lang w:val="en-US" w:eastAsia="zh-CN"/>
        </w:rPr>
        <w:t>（四十四）城乡社区支出（类）城市基础设施配套费安排的支出（款）城市公共设施（项）</w:t>
      </w:r>
      <w:r>
        <w:rPr>
          <w:rFonts w:hint="eastAsia"/>
          <w:lang w:val="en-US" w:eastAsia="zh-CN"/>
        </w:rPr>
        <w:t>：</w:t>
      </w:r>
      <w:r>
        <w:rPr>
          <w:rFonts w:hint="eastAsia"/>
          <w:lang w:eastAsia="zh-CN"/>
        </w:rPr>
        <w:t>反映城市基础实施配套费安排用于城市道路、桥涵、公共交通、道路照明、供排水、燃气、供热等公共设施维护、建设和管理等方面的支出。</w:t>
      </w:r>
    </w:p>
    <w:p>
      <w:pPr>
        <w:pageBreakBefore w:val="0"/>
        <w:kinsoku/>
        <w:wordWrap/>
        <w:overflowPunct/>
        <w:topLinePunct w:val="0"/>
        <w:bidi w:val="0"/>
        <w:snapToGrid/>
        <w:spacing w:line="580" w:lineRule="exact"/>
        <w:ind w:firstLine="640" w:firstLineChars="200"/>
        <w:textAlignment w:val="auto"/>
        <w:rPr>
          <w:rFonts w:hint="eastAsia"/>
          <w:lang w:eastAsia="zh-CN"/>
        </w:rPr>
      </w:pPr>
    </w:p>
    <w:p>
      <w:pPr>
        <w:pageBreakBefore w:val="0"/>
        <w:kinsoku/>
        <w:wordWrap/>
        <w:overflowPunct/>
        <w:topLinePunct w:val="0"/>
        <w:bidi w:val="0"/>
        <w:snapToGrid/>
        <w:spacing w:line="580" w:lineRule="exact"/>
        <w:textAlignment w:val="auto"/>
        <w:rPr>
          <w:rFonts w:hint="default" w:cs="Times New Roman"/>
          <w:sz w:val="32"/>
          <w:szCs w:val="32"/>
          <w:highlight w:val="yellow"/>
          <w:lang w:val="en-US" w:eastAsia="zh-CN"/>
        </w:rPr>
      </w:pPr>
    </w:p>
    <w:p>
      <w:pPr>
        <w:pageBreakBefore w:val="0"/>
        <w:kinsoku/>
        <w:wordWrap/>
        <w:overflowPunct/>
        <w:topLinePunct w:val="0"/>
        <w:bidi w:val="0"/>
        <w:snapToGrid/>
        <w:spacing w:line="580" w:lineRule="exact"/>
        <w:textAlignment w:val="auto"/>
        <w:rPr>
          <w:rFonts w:hint="eastAsia" w:cs="Times New Roman"/>
          <w:sz w:val="32"/>
          <w:szCs w:val="32"/>
          <w:lang w:val="en-US" w:eastAsia="zh-CN"/>
        </w:rPr>
      </w:pPr>
    </w:p>
    <w:p>
      <w:pPr>
        <w:pageBreakBefore w:val="0"/>
        <w:kinsoku/>
        <w:wordWrap/>
        <w:overflowPunct/>
        <w:topLinePunct w:val="0"/>
        <w:bidi w:val="0"/>
        <w:snapToGrid/>
        <w:spacing w:line="580" w:lineRule="exact"/>
        <w:textAlignment w:val="auto"/>
      </w:pPr>
      <w:r>
        <w:rPr>
          <w:rFonts w:hint="eastAsia" w:cs="Times New Roman"/>
          <w:sz w:val="32"/>
          <w:szCs w:val="32"/>
          <w:lang w:val="en-US" w:eastAsia="zh-CN"/>
        </w:rPr>
        <w:t>附件：遵义市绥阳县洋川街道办事处</w:t>
      </w:r>
      <w:r>
        <w:rPr>
          <w:rFonts w:hint="eastAsia"/>
          <w:sz w:val="32"/>
          <w:szCs w:val="32"/>
          <w:lang w:eastAsia="zh-CN"/>
        </w:rPr>
        <w:t>2022</w:t>
      </w:r>
      <w:r>
        <w:rPr>
          <w:rFonts w:hint="eastAsia"/>
          <w:sz w:val="32"/>
          <w:szCs w:val="32"/>
        </w:rPr>
        <w:t>年度部门决算公开报表</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C18E2"/>
    <w:rsid w:val="01177C2E"/>
    <w:rsid w:val="04C545BC"/>
    <w:rsid w:val="05D6130C"/>
    <w:rsid w:val="0D0C197C"/>
    <w:rsid w:val="0D2245D8"/>
    <w:rsid w:val="0D724CF8"/>
    <w:rsid w:val="0EFE0B2F"/>
    <w:rsid w:val="0FCC568A"/>
    <w:rsid w:val="14FB6460"/>
    <w:rsid w:val="1C760843"/>
    <w:rsid w:val="21270640"/>
    <w:rsid w:val="21E47931"/>
    <w:rsid w:val="225272AC"/>
    <w:rsid w:val="262C18E2"/>
    <w:rsid w:val="2AA358E1"/>
    <w:rsid w:val="2D1D6039"/>
    <w:rsid w:val="309F14B3"/>
    <w:rsid w:val="319C7F92"/>
    <w:rsid w:val="33992295"/>
    <w:rsid w:val="38B33959"/>
    <w:rsid w:val="40B2276F"/>
    <w:rsid w:val="45066B11"/>
    <w:rsid w:val="45A7578D"/>
    <w:rsid w:val="483614DE"/>
    <w:rsid w:val="4ABE25D6"/>
    <w:rsid w:val="4B003578"/>
    <w:rsid w:val="556637B1"/>
    <w:rsid w:val="5F1D198E"/>
    <w:rsid w:val="60FA3FF3"/>
    <w:rsid w:val="616B2B45"/>
    <w:rsid w:val="68983A90"/>
    <w:rsid w:val="6C2505B7"/>
    <w:rsid w:val="6C7C760B"/>
    <w:rsid w:val="6CE91F83"/>
    <w:rsid w:val="6EA67553"/>
    <w:rsid w:val="7373398B"/>
    <w:rsid w:val="75DD2789"/>
    <w:rsid w:val="773F070A"/>
    <w:rsid w:val="780A4D79"/>
    <w:rsid w:val="7F651D76"/>
    <w:rsid w:val="7FF77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0" w:leftChars="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50" w:beforeLines="50" w:after="50" w:afterLines="50" w:line="360" w:lineRule="auto"/>
      <w:ind w:left="2310" w:leftChars="100" w:rightChars="100"/>
      <w:jc w:val="center"/>
      <w:outlineLvl w:val="0"/>
    </w:pPr>
    <w:rPr>
      <w:rFonts w:eastAsia="黑体"/>
      <w:bCs/>
      <w:kern w:val="44"/>
      <w:szCs w:val="44"/>
    </w:rPr>
  </w:style>
  <w:style w:type="paragraph" w:styleId="3">
    <w:name w:val="heading 2"/>
    <w:basedOn w:val="1"/>
    <w:next w:val="1"/>
    <w:unhideWhenUsed/>
    <w:qFormat/>
    <w:uiPriority w:val="0"/>
    <w:pPr>
      <w:keepNext/>
      <w:keepLines/>
      <w:spacing w:before="50" w:beforeLines="50" w:beforeAutospacing="0" w:after="50" w:afterLines="50" w:afterAutospacing="0" w:line="300" w:lineRule="auto"/>
      <w:outlineLvl w:val="1"/>
    </w:pPr>
    <w:rPr>
      <w:rFonts w:ascii="Arial" w:hAnsi="Arial" w:eastAsia="黑体"/>
      <w:sz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WPSOffice手动目录 1"/>
    <w:qFormat/>
    <w:uiPriority w:val="0"/>
    <w:pPr>
      <w:spacing w:line="360" w:lineRule="auto"/>
      <w:ind w:leftChars="0"/>
    </w:pPr>
    <w:rPr>
      <w:rFonts w:ascii="Times New Roman" w:hAnsi="Times New Roman" w:eastAsia="黑体" w:cs="Times New Roman"/>
      <w:sz w:val="24"/>
      <w:szCs w:val="20"/>
    </w:rPr>
  </w:style>
  <w:style w:type="paragraph" w:customStyle="1" w:styleId="10">
    <w:name w:val="WPSOffice手动目录 2"/>
    <w:qFormat/>
    <w:uiPriority w:val="0"/>
    <w:pPr>
      <w:spacing w:line="360" w:lineRule="auto"/>
      <w:ind w:leftChars="200"/>
    </w:pPr>
    <w:rPr>
      <w:rFonts w:ascii="Times New Roman" w:hAnsi="Times New Roman" w:eastAsia="黑体" w:cs="Times New Roman"/>
      <w:sz w:val="24"/>
      <w:szCs w:val="20"/>
    </w:rPr>
  </w:style>
  <w:style w:type="paragraph" w:customStyle="1" w:styleId="11">
    <w:name w:val="正文1"/>
    <w:qFormat/>
    <w:uiPriority w:val="0"/>
    <w:pPr>
      <w:jc w:val="both"/>
    </w:pPr>
    <w:rPr>
      <w:rFonts w:ascii="Times New Roman" w:hAnsi="Times New Roman" w:eastAsia="楷体_GB2312" w:cs="Times New Roman"/>
      <w:kern w:val="2"/>
      <w:sz w:val="30"/>
      <w:szCs w:val="21"/>
      <w:lang w:val="en-US" w:eastAsia="zh-CN" w:bidi="ar-SA"/>
    </w:rPr>
  </w:style>
  <w:style w:type="paragraph" w:customStyle="1" w:styleId="12">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2023-08-23T08:37:00Z</dcterms:created>
  <dc:creator>Administrator</dc:creator>
  <cp:lastModifiedBy>仙</cp:lastModifiedBy>
  <dcterms:modified xsi:type="dcterms:W3CDTF">2023-08-25T03:51:13Z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