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exact"/>
        <w:ind w:firstLine="0" w:firstLineChars="0"/>
        <w:rPr>
          <w:rFonts w:hint="default" w:ascii="Tahoma" w:hAnsi="Tahoma" w:cs="Tahoma"/>
          <w:b w:val="0"/>
          <w:spacing w:val="0"/>
        </w:rPr>
      </w:pPr>
    </w:p>
    <w:p>
      <w:pPr>
        <w:spacing w:line="220" w:lineRule="atLeast"/>
      </w:pPr>
    </w:p>
    <w:p>
      <w:pPr>
        <w:spacing w:after="0" w:line="576" w:lineRule="exact"/>
        <w:jc w:val="center"/>
        <w:outlineLvl w:val="0"/>
        <w:rPr>
          <w:rFonts w:hint="eastAsia" w:ascii="方正小标宋简体" w:eastAsia="方正小标宋简体"/>
          <w:b/>
          <w:bCs w:val="0"/>
          <w:sz w:val="44"/>
        </w:rPr>
      </w:pPr>
      <w:r>
        <w:rPr>
          <w:rFonts w:hint="eastAsia" w:ascii="方正小标宋简体" w:eastAsia="方正小标宋简体"/>
          <w:b/>
          <w:bCs w:val="0"/>
          <w:sz w:val="44"/>
          <w:lang w:val="en-US" w:eastAsia="zh-CN"/>
        </w:rPr>
        <w:t>XX部门</w:t>
      </w:r>
      <w:r>
        <w:rPr>
          <w:rFonts w:hint="eastAsia" w:ascii="方正小标宋简体" w:eastAsia="方正小标宋简体"/>
          <w:b/>
          <w:bCs w:val="0"/>
          <w:sz w:val="44"/>
        </w:rPr>
        <w:t>关于批复XX</w:t>
      </w:r>
      <w:r>
        <w:rPr>
          <w:rFonts w:hint="eastAsia" w:ascii="方正小标宋简体" w:eastAsia="方正小标宋简体"/>
          <w:b/>
          <w:bCs w:val="0"/>
          <w:sz w:val="44"/>
          <w:lang w:eastAsia="zh-CN"/>
        </w:rPr>
        <w:t>单位2023年度</w:t>
      </w:r>
    </w:p>
    <w:p>
      <w:pPr>
        <w:spacing w:after="0" w:line="576" w:lineRule="exact"/>
        <w:jc w:val="center"/>
        <w:outlineLvl w:val="0"/>
        <w:rPr>
          <w:rFonts w:hint="eastAsia" w:ascii="方正小标宋简体" w:eastAsia="方正小标宋简体"/>
          <w:b/>
          <w:bCs w:val="0"/>
          <w:sz w:val="44"/>
        </w:rPr>
      </w:pPr>
      <w:r>
        <w:rPr>
          <w:rFonts w:hint="eastAsia" w:ascii="方正小标宋简体" w:eastAsia="方正小标宋简体"/>
          <w:b/>
          <w:bCs w:val="0"/>
          <w:sz w:val="44"/>
        </w:rPr>
        <w:t>部门决算的通知</w:t>
      </w:r>
    </w:p>
    <w:p>
      <w:pPr>
        <w:spacing w:after="0" w:line="576" w:lineRule="exact"/>
        <w:rPr>
          <w:rFonts w:hint="eastAsia" w:ascii="仿宋_GB2312" w:eastAsia="仿宋_GB2312"/>
          <w:sz w:val="32"/>
          <w:szCs w:val="32"/>
        </w:rPr>
      </w:pPr>
    </w:p>
    <w:p>
      <w:pPr>
        <w:keepNext w:val="0"/>
        <w:keepLines w:val="0"/>
        <w:pageBreakBefore w:val="0"/>
        <w:kinsoku/>
        <w:wordWrap/>
        <w:overflowPunct/>
        <w:topLinePunct w:val="0"/>
        <w:autoSpaceDE/>
        <w:autoSpaceDN/>
        <w:bidi w:val="0"/>
        <w:spacing w:after="0" w:line="576" w:lineRule="exact"/>
        <w:jc w:val="both"/>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3665" distR="113665" simplePos="0" relativeHeight="251660288" behindDoc="0" locked="0" layoutInCell="1" allowOverlap="1">
                <wp:simplePos x="0" y="0"/>
                <wp:positionH relativeFrom="column">
                  <wp:posOffset>513715</wp:posOffset>
                </wp:positionH>
                <wp:positionV relativeFrom="paragraph">
                  <wp:posOffset>327660</wp:posOffset>
                </wp:positionV>
                <wp:extent cx="1600200" cy="635"/>
                <wp:effectExtent l="0" t="0" r="0" b="0"/>
                <wp:wrapNone/>
                <wp:docPr id="1" name="自选图形 2"/>
                <wp:cNvGraphicFramePr/>
                <a:graphic xmlns:a="http://schemas.openxmlformats.org/drawingml/2006/main">
                  <a:graphicData uri="http://schemas.microsoft.com/office/word/2010/wordprocessingShape">
                    <wps:wsp>
                      <wps:cNvCnPr/>
                      <wps:spPr>
                        <a:xfrm>
                          <a:off x="2150745" y="2011679"/>
                          <a:ext cx="1600200" cy="952"/>
                        </a:xfrm>
                        <a:prstGeom prst="straightConnector1">
                          <a:avLst/>
                        </a:prstGeom>
                        <a:noFill/>
                        <a:ln w="9525" cap="flat" cmpd="sng">
                          <a:solidFill>
                            <a:srgbClr val="000000"/>
                          </a:solidFill>
                          <a:prstDash val="solid"/>
                          <a:miter/>
                        </a:ln>
                      </wps:spPr>
                      <wps:bodyPr vert="horz" wrap="square" lIns="91440" tIns="45720" rIns="91440" bIns="45720" anchor="t" anchorCtr="0" upright="1">
                        <a:noAutofit/>
                      </wps:bodyPr>
                    </wps:wsp>
                  </a:graphicData>
                </a:graphic>
              </wp:anchor>
            </w:drawing>
          </mc:Choice>
          <mc:Fallback>
            <w:pict>
              <v:shape id="自选图形 2" o:spid="_x0000_s1026" o:spt="32" type="#_x0000_t32" style="position:absolute;left:0pt;margin-left:40.45pt;margin-top:25.8pt;height:0.05pt;width:126pt;z-index:251660288;mso-width-relative:page;mso-height-relative:page;" filled="f" stroked="t" coordsize="21600,21600" o:gfxdata="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WZn7DUAAAACAEAAA8AAAAAAAAA&#10;AQAgAAAAIgAAAGRycy9kb3ducmV2LnhtbFBLAQIUABQAAAAIAIdO4kCaIJ87FQIAAPEDAAAOAAAA&#10;AAAAAAEAIAAAACMBAABkcnMvZTJvRG9jLnhtbFBLBQYAAAAABgAGAFkBAACqBQAAAAA=&#10;">
                <v:fill on="f" focussize="0,0"/>
                <v:stroke color="#000000" joinstyle="miter"/>
                <v:imagedata o:title=""/>
                <o:lock v:ext="edit" aspectratio="f"/>
              </v:shape>
            </w:pict>
          </mc:Fallback>
        </mc:AlternateContent>
      </w:r>
      <w:r>
        <w:rPr>
          <w:rFonts w:hint="eastAsia" w:ascii="仿宋_GB2312" w:hAnsi="仿宋_GB2312" w:eastAsia="仿宋_GB2312" w:cs="仿宋_GB2312"/>
          <w:sz w:val="32"/>
          <w:szCs w:val="32"/>
        </w:rPr>
        <w:t>单位:</w:t>
      </w:r>
    </w:p>
    <w:p>
      <w:pPr>
        <w:pStyle w:val="8"/>
        <w:keepNext w:val="0"/>
        <w:keepLines w:val="0"/>
        <w:pageBreakBefore w:val="0"/>
        <w:shd w:val="clear" w:color="auto" w:fill="FFFFFF"/>
        <w:kinsoku/>
        <w:wordWrap/>
        <w:overflowPunct/>
        <w:topLinePunct w:val="0"/>
        <w:autoSpaceDE/>
        <w:autoSpaceDN/>
        <w:bidi w:val="0"/>
        <w:spacing w:before="0" w:beforeAutospacing="0" w:after="0" w:afterAutospacing="0" w:line="576"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2023年度</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lang w:eastAsia="zh-CN"/>
        </w:rPr>
        <w:t>财政决算经绥阳县</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lang w:eastAsia="zh-CN"/>
        </w:rPr>
        <w:t>届人大常委会第</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lang w:eastAsia="zh-CN"/>
        </w:rPr>
        <w:t>次会议审议批准。根据《中华人民共和国预算法》及其实施条例、财政财务管理有关规定，结合</w:t>
      </w:r>
      <w:r>
        <w:rPr>
          <w:rFonts w:hint="eastAsia" w:ascii="仿宋_GB2312" w:hAnsi="仿宋_GB2312" w:eastAsia="仿宋_GB2312" w:cs="仿宋_GB2312"/>
          <w:sz w:val="32"/>
          <w:szCs w:val="32"/>
          <w:highlight w:val="yellow"/>
          <w:lang w:eastAsia="zh-CN"/>
        </w:rPr>
        <w:t>《绥阳县财政局关于批复2023年度县级部门决算的通知》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yellow"/>
          <w:lang w:val="en-US" w:eastAsia="zh-CN"/>
        </w:rPr>
        <w:t>绥财X</w:t>
      </w:r>
      <w:r>
        <w:rPr>
          <w:rFonts w:hint="eastAsia" w:ascii="仿宋_GB2312" w:hAnsi="仿宋_GB2312" w:eastAsia="仿宋_GB2312" w:cs="仿宋_GB2312"/>
          <w:sz w:val="32"/>
          <w:szCs w:val="32"/>
          <w:highlight w:val="yellow"/>
        </w:rPr>
        <w:t>〔202</w:t>
      </w:r>
      <w:r>
        <w:rPr>
          <w:rFonts w:hint="eastAsia" w:ascii="仿宋_GB2312" w:hAnsi="仿宋_GB2312" w:eastAsia="仿宋_GB2312" w:cs="仿宋_GB2312"/>
          <w:sz w:val="32"/>
          <w:szCs w:val="32"/>
          <w:highlight w:val="yellow"/>
          <w:lang w:val="en-US" w:eastAsia="zh-CN"/>
        </w:rPr>
        <w:t>4</w:t>
      </w:r>
      <w:r>
        <w:rPr>
          <w:rFonts w:hint="eastAsia"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lang w:val="en-US" w:eastAsia="zh-CN"/>
        </w:rPr>
        <w:t>XX</w:t>
      </w:r>
      <w:r>
        <w:rPr>
          <w:rFonts w:hint="eastAsia" w:ascii="仿宋_GB2312" w:hAnsi="仿宋_GB2312" w:eastAsia="仿宋_GB2312" w:cs="仿宋_GB2312"/>
          <w:sz w:val="32"/>
          <w:szCs w:val="32"/>
          <w:highlight w:val="yellow"/>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文件精神，现将</w:t>
      </w:r>
      <w:r>
        <w:rPr>
          <w:rFonts w:hint="eastAsia" w:ascii="仿宋_GB2312" w:hAnsi="仿宋_GB2312" w:eastAsia="仿宋_GB2312" w:cs="仿宋_GB2312"/>
          <w:sz w:val="32"/>
          <w:szCs w:val="32"/>
          <w:lang w:val="en-US" w:eastAsia="zh-CN"/>
        </w:rPr>
        <w:t>你单位</w:t>
      </w:r>
      <w:r>
        <w:rPr>
          <w:rFonts w:hint="eastAsia" w:ascii="仿宋_GB2312" w:hAnsi="仿宋_GB2312" w:eastAsia="仿宋_GB2312" w:cs="仿宋_GB2312"/>
          <w:sz w:val="32"/>
          <w:szCs w:val="32"/>
          <w:lang w:eastAsia="zh-CN"/>
        </w:rPr>
        <w:t>2023年度</w:t>
      </w:r>
      <w:r>
        <w:rPr>
          <w:rFonts w:hint="eastAsia" w:ascii="仿宋_GB2312" w:hAnsi="仿宋_GB2312" w:eastAsia="仿宋_GB2312" w:cs="仿宋_GB2312"/>
          <w:color w:val="auto"/>
          <w:sz w:val="32"/>
          <w:szCs w:val="32"/>
          <w:lang w:val="en-US" w:eastAsia="zh-CN"/>
        </w:rPr>
        <w:t>决算予以批复下达：</w:t>
      </w:r>
    </w:p>
    <w:p>
      <w:pPr>
        <w:keepNext w:val="0"/>
        <w:keepLines w:val="0"/>
        <w:pageBreakBefore w:val="0"/>
        <w:kinsoku/>
        <w:wordWrap/>
        <w:overflowPunct/>
        <w:topLinePunct w:val="0"/>
        <w:autoSpaceDE/>
        <w:autoSpaceDN/>
        <w:bidi w:val="0"/>
        <w:spacing w:after="0" w:line="576" w:lineRule="exact"/>
        <w:ind w:firstLine="640" w:firstLineChars="200"/>
        <w:jc w:val="both"/>
        <w:textAlignment w:val="auto"/>
        <w:outlineLvl w:val="0"/>
        <w:rPr>
          <w:rFonts w:hint="eastAsia" w:ascii="黑体" w:hAnsi="黑体" w:eastAsia="黑体" w:cs="黑体"/>
          <w:sz w:val="32"/>
          <w:szCs w:val="32"/>
          <w:lang w:eastAsia="zh-CN" w:bidi="ar-SA"/>
        </w:rPr>
      </w:pPr>
      <w:r>
        <w:rPr>
          <w:rFonts w:hint="eastAsia" w:ascii="黑体" w:hAnsi="黑体" w:eastAsia="黑体" w:cs="黑体"/>
          <w:sz w:val="32"/>
          <w:szCs w:val="32"/>
          <w:lang w:bidi="ar-SA"/>
        </w:rPr>
        <w:t>一、</w:t>
      </w:r>
      <w:r>
        <w:rPr>
          <w:rFonts w:hint="eastAsia" w:ascii="黑体" w:hAnsi="黑体" w:eastAsia="黑体" w:cs="黑体"/>
          <w:sz w:val="32"/>
          <w:szCs w:val="32"/>
          <w:lang w:eastAsia="zh-CN" w:bidi="ar-SA"/>
        </w:rPr>
        <w:t>基本收支情况</w:t>
      </w:r>
    </w:p>
    <w:p>
      <w:pPr>
        <w:keepNext w:val="0"/>
        <w:keepLines w:val="0"/>
        <w:pageBreakBefore w:val="0"/>
        <w:kinsoku/>
        <w:wordWrap/>
        <w:overflowPunct/>
        <w:topLinePunct w:val="0"/>
        <w:autoSpaceDE/>
        <w:autoSpaceDN/>
        <w:bidi w:val="0"/>
        <w:spacing w:after="0"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总收支。</w:t>
      </w:r>
      <w:r>
        <w:rPr>
          <w:rFonts w:hint="eastAsia" w:ascii="仿宋_GB2312" w:hAnsi="仿宋_GB2312" w:eastAsia="仿宋_GB2312" w:cs="仿宋_GB2312"/>
          <w:sz w:val="32"/>
          <w:szCs w:val="32"/>
          <w:lang w:eastAsia="zh-CN"/>
        </w:rPr>
        <w:t>2023年度</w:t>
      </w:r>
      <w:r>
        <w:rPr>
          <w:rFonts w:hint="eastAsia" w:ascii="仿宋_GB2312" w:hAnsi="仿宋_GB2312" w:eastAsia="仿宋_GB2312" w:cs="仿宋_GB2312"/>
          <w:sz w:val="32"/>
          <w:szCs w:val="32"/>
        </w:rPr>
        <w:t>年初结转和结余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元，本年收入</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元，本年支出</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使用非财政拨款结余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元，结余分配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元，年末结转和结余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元。</w:t>
      </w:r>
    </w:p>
    <w:p>
      <w:pPr>
        <w:keepNext w:val="0"/>
        <w:keepLines w:val="0"/>
        <w:pageBreakBefore w:val="0"/>
        <w:kinsoku/>
        <w:wordWrap/>
        <w:overflowPunct/>
        <w:topLinePunct w:val="0"/>
        <w:autoSpaceDE/>
        <w:autoSpaceDN/>
        <w:bidi w:val="0"/>
        <w:spacing w:after="0" w:line="576"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一般公共预算财政拨款</w:t>
      </w:r>
      <w:r>
        <w:rPr>
          <w:rFonts w:hint="eastAsia" w:ascii="仿宋_GB2312" w:hAnsi="仿宋_GB2312" w:eastAsia="仿宋_GB2312" w:cs="仿宋_GB2312"/>
          <w:b/>
          <w:bCs/>
          <w:sz w:val="32"/>
          <w:szCs w:val="32"/>
          <w:lang w:eastAsia="zh-CN"/>
        </w:rPr>
        <w:t>收支。</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rPr>
        <w:t>一般公共预算财政拨款年初结转和结余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元，本年收入</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元，本年支出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rPr>
        <w:t>，年末结转和结余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w:t>
      </w:r>
    </w:p>
    <w:p>
      <w:pPr>
        <w:keepNext w:val="0"/>
        <w:keepLines w:val="0"/>
        <w:pageBreakBefore w:val="0"/>
        <w:kinsoku/>
        <w:wordWrap/>
        <w:overflowPunct/>
        <w:topLinePunct w:val="0"/>
        <w:autoSpaceDE/>
        <w:autoSpaceDN/>
        <w:bidi w:val="0"/>
        <w:spacing w:after="0" w:line="576"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政府性基金</w:t>
      </w:r>
      <w:bookmarkStart w:id="0" w:name="_GoBack"/>
      <w:bookmarkEnd w:id="0"/>
      <w:r>
        <w:rPr>
          <w:rFonts w:hint="eastAsia" w:ascii="仿宋_GB2312" w:hAnsi="仿宋_GB2312" w:eastAsia="仿宋_GB2312" w:cs="仿宋_GB2312"/>
          <w:b/>
          <w:bCs/>
          <w:sz w:val="32"/>
          <w:szCs w:val="32"/>
        </w:rPr>
        <w:t>预算财政拨款</w:t>
      </w:r>
      <w:r>
        <w:rPr>
          <w:rFonts w:hint="eastAsia" w:ascii="仿宋_GB2312" w:hAnsi="仿宋_GB2312" w:eastAsia="仿宋_GB2312" w:cs="仿宋_GB2312"/>
          <w:b/>
          <w:bCs/>
          <w:sz w:val="32"/>
          <w:szCs w:val="32"/>
          <w:lang w:eastAsia="zh-CN"/>
        </w:rPr>
        <w:t>收支。</w:t>
      </w:r>
      <w:r>
        <w:rPr>
          <w:rFonts w:hint="eastAsia" w:ascii="仿宋_GB2312" w:hAnsi="仿宋_GB2312" w:eastAsia="仿宋_GB2312" w:cs="仿宋_GB2312"/>
          <w:sz w:val="32"/>
          <w:szCs w:val="32"/>
          <w:lang w:eastAsia="zh-CN"/>
        </w:rPr>
        <w:t>2023年度政府性基金预算财政拨款年初结转和结余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元，本年收入</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元，本年支出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元，年末结转和结余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w:t>
      </w:r>
    </w:p>
    <w:p>
      <w:pPr>
        <w:keepNext w:val="0"/>
        <w:keepLines w:val="0"/>
        <w:pageBreakBefore w:val="0"/>
        <w:kinsoku/>
        <w:wordWrap/>
        <w:overflowPunct/>
        <w:topLinePunct w:val="0"/>
        <w:autoSpaceDE/>
        <w:autoSpaceDN/>
        <w:bidi w:val="0"/>
        <w:spacing w:after="0" w:line="576"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（四）国有资本经营预算财政拨款收支。</w:t>
      </w:r>
      <w:r>
        <w:rPr>
          <w:rFonts w:hint="eastAsia" w:ascii="仿宋_GB2312" w:hAnsi="仿宋_GB2312" w:eastAsia="仿宋_GB2312" w:cs="仿宋_GB2312"/>
          <w:sz w:val="32"/>
          <w:szCs w:val="32"/>
          <w:lang w:eastAsia="zh-CN"/>
        </w:rPr>
        <w:t>2023年度国有资本经营预算财政拨款年初结转和结余</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元，本年收入</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元，本年支出</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元，年末结转和结余</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元。</w:t>
      </w:r>
    </w:p>
    <w:p>
      <w:pPr>
        <w:keepNext w:val="0"/>
        <w:keepLines w:val="0"/>
        <w:pageBreakBefore w:val="0"/>
        <w:kinsoku/>
        <w:wordWrap/>
        <w:overflowPunct/>
        <w:topLinePunct w:val="0"/>
        <w:autoSpaceDE/>
        <w:autoSpaceDN/>
        <w:bidi w:val="0"/>
        <w:spacing w:after="0" w:line="576" w:lineRule="exact"/>
        <w:ind w:firstLine="640" w:firstLineChars="200"/>
        <w:jc w:val="both"/>
        <w:textAlignment w:val="auto"/>
        <w:outlineLvl w:val="0"/>
        <w:rPr>
          <w:rFonts w:hint="eastAsia" w:ascii="黑体" w:hAnsi="黑体" w:eastAsia="黑体" w:cs="黑体"/>
          <w:sz w:val="32"/>
          <w:szCs w:val="32"/>
          <w:lang w:eastAsia="zh-CN" w:bidi="ar-SA"/>
        </w:rPr>
      </w:pPr>
      <w:r>
        <w:rPr>
          <w:rFonts w:hint="eastAsia" w:ascii="黑体" w:hAnsi="黑体" w:eastAsia="黑体" w:cs="黑体"/>
          <w:sz w:val="32"/>
          <w:szCs w:val="32"/>
          <w:lang w:eastAsia="zh-CN" w:bidi="ar-SA"/>
        </w:rPr>
        <w:t>二、有关工作要求</w:t>
      </w:r>
    </w:p>
    <w:p>
      <w:pPr>
        <w:keepNext w:val="0"/>
        <w:keepLines w:val="0"/>
        <w:pageBreakBefore w:val="0"/>
        <w:widowControl w:val="0"/>
        <w:kinsoku/>
        <w:wordWrap/>
        <w:overflowPunct/>
        <w:topLinePunct w:val="0"/>
        <w:autoSpaceDE/>
        <w:autoSpaceDN/>
        <w:bidi w:val="0"/>
        <w:adjustRightInd w:val="0"/>
        <w:snapToGrid w:val="0"/>
        <w:spacing w:after="0" w:line="576" w:lineRule="exact"/>
        <w:ind w:left="0" w:right="0" w:firstLine="640" w:firstLineChars="200"/>
        <w:jc w:val="both"/>
        <w:textAlignment w:val="auto"/>
        <w:rPr>
          <w:rFonts w:hint="eastAsia" w:ascii="仿宋_GB2312" w:hAnsi="仿宋_GB2312" w:eastAsia="仿宋_GB2312" w:cs="仿宋_GB2312"/>
          <w:sz w:val="32"/>
          <w:szCs w:val="32"/>
          <w:rtl w:val="0"/>
          <w:lang w:val="en-US"/>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sz w:val="32"/>
          <w:szCs w:val="32"/>
          <w:rtl w:val="0"/>
          <w:lang w:val="en-US"/>
        </w:rPr>
        <w:t>本批复文件作为你</w:t>
      </w:r>
      <w:r>
        <w:rPr>
          <w:rFonts w:hint="eastAsia" w:ascii="仿宋_GB2312" w:hAnsi="仿宋_GB2312" w:eastAsia="仿宋_GB2312" w:cs="仿宋_GB2312"/>
          <w:sz w:val="32"/>
          <w:szCs w:val="32"/>
          <w:rtl w:val="0"/>
          <w:lang w:val="en-US" w:eastAsia="zh-CN"/>
        </w:rPr>
        <w:t>单位</w:t>
      </w:r>
      <w:r>
        <w:rPr>
          <w:rFonts w:hint="eastAsia" w:ascii="仿宋_GB2312" w:hAnsi="仿宋_GB2312" w:eastAsia="仿宋_GB2312" w:cs="仿宋_GB2312"/>
          <w:sz w:val="32"/>
          <w:szCs w:val="32"/>
          <w:rtl w:val="0"/>
          <w:lang w:val="en-US"/>
        </w:rPr>
        <w:t>对预算执行有关事项进行调整的依据，调整事项涉及会计处理的应当遵循政府会计准则制度的规定。</w:t>
      </w:r>
    </w:p>
    <w:p>
      <w:pPr>
        <w:keepNext w:val="0"/>
        <w:keepLines w:val="0"/>
        <w:pageBreakBefore w:val="0"/>
        <w:widowControl w:val="0"/>
        <w:kinsoku/>
        <w:wordWrap/>
        <w:overflowPunct/>
        <w:topLinePunct w:val="0"/>
        <w:autoSpaceDE/>
        <w:autoSpaceDN/>
        <w:bidi w:val="0"/>
        <w:adjustRightInd w:val="0"/>
        <w:snapToGrid w:val="0"/>
        <w:spacing w:after="0" w:line="576"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tl w:val="0"/>
          <w:lang w:val="en-US"/>
        </w:rPr>
        <w:t>基本建设项目竣工决算审批按现行制度管理，以竣工决算批复数据为准；年度基本建设资金收入支出及结转结余资金不作为基本建设项目竣工决算审批的依据。</w:t>
      </w:r>
    </w:p>
    <w:p>
      <w:pPr>
        <w:keepNext w:val="0"/>
        <w:keepLines w:val="0"/>
        <w:pageBreakBefore w:val="0"/>
        <w:widowControl w:val="0"/>
        <w:kinsoku/>
        <w:wordWrap/>
        <w:overflowPunct/>
        <w:topLinePunct w:val="0"/>
        <w:autoSpaceDE/>
        <w:autoSpaceDN/>
        <w:bidi w:val="0"/>
        <w:adjustRightInd w:val="0"/>
        <w:snapToGrid w:val="0"/>
        <w:spacing w:after="0" w:line="576" w:lineRule="exact"/>
        <w:ind w:left="0" w:right="0" w:firstLine="640" w:firstLineChars="200"/>
        <w:jc w:val="both"/>
        <w:textAlignment w:val="auto"/>
        <w:rPr>
          <w:rFonts w:hint="eastAsia" w:ascii="仿宋_GB2312" w:hAnsi="仿宋_GB2312" w:eastAsia="仿宋_GB2312" w:cs="仿宋_GB2312"/>
          <w:b w:val="0"/>
          <w:bCs w:val="0"/>
          <w:sz w:val="32"/>
          <w:szCs w:val="32"/>
          <w:rtl w:val="0"/>
          <w:lang w:val="en-US"/>
        </w:rPr>
      </w:pPr>
      <w:r>
        <w:rPr>
          <w:rFonts w:hint="eastAsia" w:ascii="仿宋_GB2312" w:hAnsi="仿宋_GB2312" w:eastAsia="仿宋_GB2312" w:cs="仿宋_GB2312"/>
          <w:b w:val="0"/>
          <w:bCs w:val="0"/>
          <w:sz w:val="32"/>
          <w:szCs w:val="32"/>
          <w:rtl w:val="0"/>
          <w:lang w:val="en-US" w:eastAsia="zh-CN"/>
        </w:rPr>
        <w:t>（三）</w:t>
      </w:r>
      <w:r>
        <w:rPr>
          <w:rFonts w:hint="eastAsia" w:ascii="仿宋_GB2312" w:hAnsi="仿宋_GB2312" w:eastAsia="仿宋_GB2312" w:cs="仿宋_GB2312"/>
          <w:b w:val="0"/>
          <w:bCs w:val="0"/>
          <w:sz w:val="32"/>
          <w:szCs w:val="32"/>
          <w:rtl w:val="0"/>
          <w:lang w:val="en-US"/>
        </w:rPr>
        <w:t>因审计事项或决算核查等确需调整账表数据的，原则上调整下一年度账表数据，并按规定程序报财政部门审核、备案。</w:t>
      </w:r>
    </w:p>
    <w:p>
      <w:pPr>
        <w:keepNext w:val="0"/>
        <w:keepLines w:val="0"/>
        <w:pageBreakBefore w:val="0"/>
        <w:kinsoku/>
        <w:wordWrap/>
        <w:overflowPunct/>
        <w:topLinePunct w:val="0"/>
        <w:autoSpaceDE/>
        <w:autoSpaceDN/>
        <w:bidi w:val="0"/>
        <w:spacing w:after="0"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tl w:val="0"/>
          <w:lang w:val="en-US" w:eastAsia="zh-CN"/>
        </w:rPr>
        <w:t>（四）</w:t>
      </w:r>
      <w:r>
        <w:rPr>
          <w:rFonts w:hint="eastAsia" w:ascii="仿宋_GB2312" w:hAnsi="仿宋_GB2312" w:eastAsia="仿宋_GB2312" w:cs="仿宋_GB2312"/>
          <w:color w:val="auto"/>
          <w:sz w:val="32"/>
          <w:szCs w:val="32"/>
          <w:lang w:eastAsia="zh-CN" w:bidi="ar-SA"/>
        </w:rPr>
        <w:t>经部门批复的所属单位决算，应当在批复后</w:t>
      </w:r>
      <w:r>
        <w:rPr>
          <w:rFonts w:hint="eastAsia" w:ascii="仿宋_GB2312" w:hAnsi="仿宋_GB2312" w:eastAsia="仿宋_GB2312" w:cs="仿宋_GB2312"/>
          <w:color w:val="auto"/>
          <w:sz w:val="32"/>
          <w:szCs w:val="32"/>
          <w:lang w:val="en-US" w:eastAsia="zh-CN" w:bidi="ar-SA"/>
        </w:rPr>
        <w:t>20日内在主管部门和</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门户网站同步公开</w:t>
      </w:r>
      <w:r>
        <w:rPr>
          <w:rFonts w:hint="eastAsia" w:ascii="仿宋_GB2312" w:hAnsi="仿宋_GB2312" w:eastAsia="仿宋_GB2312" w:cs="仿宋_GB2312"/>
          <w:sz w:val="32"/>
          <w:szCs w:val="32"/>
          <w:lang w:eastAsia="zh-CN"/>
        </w:rPr>
        <w:t>，并对有关事项作出说明。</w:t>
      </w:r>
      <w:r>
        <w:rPr>
          <w:rFonts w:hint="eastAsia" w:ascii="仿宋_GB2312" w:hAnsi="仿宋_GB2312" w:eastAsia="仿宋_GB2312" w:cs="仿宋_GB2312"/>
          <w:sz w:val="32"/>
          <w:szCs w:val="32"/>
        </w:rPr>
        <w:t>（参考样本及表格详见附件）</w:t>
      </w:r>
    </w:p>
    <w:p>
      <w:pPr>
        <w:keepNext w:val="0"/>
        <w:keepLines w:val="0"/>
        <w:pageBreakBefore w:val="0"/>
        <w:kinsoku/>
        <w:wordWrap/>
        <w:overflowPunct/>
        <w:topLinePunct w:val="0"/>
        <w:autoSpaceDE/>
        <w:autoSpaceDN/>
        <w:bidi w:val="0"/>
        <w:spacing w:after="0" w:line="576"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应当按照《中华人民共和国预算法》</w:t>
      </w:r>
      <w:r>
        <w:rPr>
          <w:rFonts w:hint="eastAsia" w:ascii="仿宋_GB2312" w:hAnsi="仿宋_GB2312" w:eastAsia="仿宋_GB2312" w:cs="仿宋_GB2312"/>
          <w:sz w:val="32"/>
          <w:szCs w:val="32"/>
          <w:lang w:eastAsia="zh-CN"/>
        </w:rPr>
        <w:t>及其实施条例</w:t>
      </w:r>
      <w:r>
        <w:rPr>
          <w:rFonts w:hint="eastAsia" w:ascii="仿宋_GB2312" w:hAnsi="仿宋_GB2312" w:eastAsia="仿宋_GB2312" w:cs="仿宋_GB2312"/>
          <w:sz w:val="32"/>
          <w:szCs w:val="32"/>
        </w:rPr>
        <w:t>、《中华人民共和国政府信息公开条例》、</w:t>
      </w:r>
      <w:r>
        <w:rPr>
          <w:rFonts w:hint="eastAsia" w:ascii="仿宋_GB2312" w:hAnsi="仿宋_GB2312" w:eastAsia="仿宋_GB2312" w:cs="仿宋_GB2312"/>
          <w:sz w:val="32"/>
          <w:szCs w:val="32"/>
          <w:lang w:bidi="ar-SA"/>
        </w:rPr>
        <w:t>《市人民政府办公室关于印发</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bidi="ar-SA"/>
        </w:rPr>
        <w:t>遵义市预决算公开工作实施方案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bidi="ar-SA"/>
        </w:rPr>
        <w:t>的通知》（遵府办发〔2017〕11号）</w:t>
      </w:r>
      <w:r>
        <w:rPr>
          <w:rFonts w:hint="eastAsia" w:ascii="仿宋_GB2312" w:hAnsi="仿宋_GB2312" w:eastAsia="仿宋_GB2312" w:cs="仿宋_GB2312"/>
          <w:sz w:val="32"/>
          <w:szCs w:val="32"/>
        </w:rPr>
        <w:t>等有关要求，切实履行公开责任和义务，严格按照谁公开谁负责的</w:t>
      </w:r>
      <w:r>
        <w:rPr>
          <w:rFonts w:hint="eastAsia" w:ascii="仿宋_GB2312" w:hAnsi="仿宋_GB2312" w:eastAsia="仿宋_GB2312" w:cs="仿宋_GB2312"/>
          <w:sz w:val="32"/>
          <w:szCs w:val="32"/>
          <w:highlight w:val="none"/>
        </w:rPr>
        <w:t>原则做好受公众质询的相应准备。</w:t>
      </w:r>
    </w:p>
    <w:p>
      <w:pPr>
        <w:keepNext w:val="0"/>
        <w:keepLines w:val="0"/>
        <w:pageBreakBefore w:val="0"/>
        <w:widowControl w:val="0"/>
        <w:kinsoku/>
        <w:wordWrap/>
        <w:overflowPunct/>
        <w:topLinePunct w:val="0"/>
        <w:autoSpaceDE/>
        <w:autoSpaceDN/>
        <w:bidi w:val="0"/>
        <w:adjustRightInd w:val="0"/>
        <w:snapToGrid w:val="0"/>
        <w:spacing w:after="0" w:line="576" w:lineRule="exact"/>
        <w:ind w:left="0" w:right="0" w:firstLine="640" w:firstLineChars="200"/>
        <w:jc w:val="both"/>
        <w:textAlignment w:val="auto"/>
        <w:rPr>
          <w:rFonts w:hint="eastAsia" w:ascii="仿宋_GB2312" w:hAnsi="仿宋_GB2312" w:eastAsia="仿宋_GB2312" w:cs="仿宋_GB2312"/>
          <w:sz w:val="32"/>
          <w:szCs w:val="32"/>
          <w:rtl w:val="0"/>
          <w:lang w:val="en-US"/>
        </w:rPr>
      </w:pPr>
      <w:r>
        <w:rPr>
          <w:rFonts w:hint="eastAsia" w:ascii="仿宋_GB2312" w:hAnsi="仿宋_GB2312" w:eastAsia="仿宋_GB2312" w:cs="仿宋_GB2312"/>
          <w:sz w:val="32"/>
          <w:szCs w:val="32"/>
          <w:rtl w:val="0"/>
          <w:lang w:val="en-US"/>
        </w:rPr>
        <w:t>（</w:t>
      </w:r>
      <w:r>
        <w:rPr>
          <w:rFonts w:hint="eastAsia" w:ascii="仿宋_GB2312" w:hAnsi="仿宋_GB2312" w:eastAsia="仿宋_GB2312" w:cs="仿宋_GB2312"/>
          <w:sz w:val="32"/>
          <w:szCs w:val="32"/>
          <w:rtl w:val="0"/>
          <w:lang w:val="en-US" w:eastAsia="zh-CN"/>
        </w:rPr>
        <w:t>六</w:t>
      </w:r>
      <w:r>
        <w:rPr>
          <w:rFonts w:hint="eastAsia" w:ascii="仿宋_GB2312" w:hAnsi="仿宋_GB2312" w:eastAsia="仿宋_GB2312" w:cs="仿宋_GB2312"/>
          <w:sz w:val="32"/>
          <w:szCs w:val="32"/>
          <w:rtl w:val="0"/>
          <w:lang w:val="en-US"/>
        </w:rPr>
        <w:t>）请你</w:t>
      </w:r>
      <w:r>
        <w:rPr>
          <w:rFonts w:hint="eastAsia" w:ascii="仿宋_GB2312" w:hAnsi="仿宋_GB2312" w:eastAsia="仿宋_GB2312" w:cs="仿宋_GB2312"/>
          <w:sz w:val="32"/>
          <w:szCs w:val="32"/>
          <w:rtl w:val="0"/>
          <w:lang w:val="en-US" w:eastAsia="zh-CN"/>
        </w:rPr>
        <w:t>单位</w:t>
      </w:r>
      <w:r>
        <w:rPr>
          <w:rFonts w:hint="eastAsia" w:ascii="仿宋_GB2312" w:hAnsi="仿宋_GB2312" w:eastAsia="仿宋_GB2312" w:cs="仿宋_GB2312"/>
          <w:sz w:val="32"/>
          <w:szCs w:val="32"/>
          <w:rtl w:val="0"/>
          <w:lang w:val="en-US"/>
        </w:rPr>
        <w:t>按照决算审核审计意见，进一步加强财务管理，改进预算编制，规范预算执行和会计核算，提高预算绩效管理水平。</w:t>
      </w:r>
    </w:p>
    <w:p>
      <w:pPr>
        <w:keepNext w:val="0"/>
        <w:keepLines w:val="0"/>
        <w:pageBreakBefore w:val="0"/>
        <w:kinsoku/>
        <w:wordWrap/>
        <w:overflowPunct/>
        <w:topLinePunct w:val="0"/>
        <w:autoSpaceDE/>
        <w:autoSpaceDN/>
        <w:bidi w:val="0"/>
        <w:spacing w:after="0" w:line="576" w:lineRule="exact"/>
        <w:ind w:firstLine="320" w:firstLineChars="100"/>
        <w:textAlignment w:val="auto"/>
        <w:outlineLvl w:val="0"/>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val="0"/>
        <w:snapToGrid w:val="0"/>
        <w:spacing w:after="0" w:line="576" w:lineRule="exact"/>
        <w:ind w:firstLine="640" w:firstLineChars="200"/>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lang w:val="en-US" w:eastAsia="zh-CN" w:bidi="ar-SA"/>
        </w:rPr>
        <w:t>1.</w:t>
      </w:r>
      <w:r>
        <w:rPr>
          <w:rFonts w:hint="eastAsia" w:ascii="仿宋_GB2312" w:hAnsi="仿宋_GB2312" w:eastAsia="仿宋_GB2312" w:cs="仿宋_GB2312"/>
          <w:sz w:val="32"/>
          <w:szCs w:val="32"/>
          <w:lang w:val="en" w:eastAsia="zh-CN" w:bidi="ar-SA"/>
        </w:rPr>
        <w:t>202</w:t>
      </w:r>
      <w:r>
        <w:rPr>
          <w:rFonts w:hint="eastAsia" w:ascii="仿宋_GB2312" w:hAnsi="仿宋_GB2312" w:eastAsia="仿宋_GB2312" w:cs="仿宋_GB2312"/>
          <w:sz w:val="32"/>
          <w:szCs w:val="32"/>
          <w:lang w:val="en-US" w:eastAsia="zh-CN" w:bidi="ar-SA"/>
        </w:rPr>
        <w:t>3年度部门决算批复表</w:t>
      </w:r>
    </w:p>
    <w:p>
      <w:pPr>
        <w:keepNext w:val="0"/>
        <w:keepLines w:val="0"/>
        <w:pageBreakBefore w:val="0"/>
        <w:widowControl/>
        <w:kinsoku/>
        <w:wordWrap/>
        <w:overflowPunct/>
        <w:topLinePunct w:val="0"/>
        <w:autoSpaceDE/>
        <w:autoSpaceDN/>
        <w:bidi w:val="0"/>
        <w:adjustRightInd w:val="0"/>
        <w:snapToGrid w:val="0"/>
        <w:spacing w:after="0" w:line="576"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lang w:val="en-US" w:eastAsia="zh-CN" w:bidi="ar-SA"/>
        </w:rPr>
        <w:t>度</w:t>
      </w:r>
      <w:r>
        <w:rPr>
          <w:rFonts w:hint="eastAsia" w:ascii="仿宋_GB2312" w:hAnsi="仿宋_GB2312" w:eastAsia="仿宋_GB2312" w:cs="仿宋_GB2312"/>
          <w:sz w:val="32"/>
          <w:szCs w:val="32"/>
          <w:highlight w:val="none"/>
        </w:rPr>
        <w:t>部门决算及“三公”经费决算公开</w:t>
      </w:r>
      <w:r>
        <w:rPr>
          <w:rFonts w:hint="eastAsia" w:ascii="仿宋_GB2312" w:hAnsi="仿宋_GB2312" w:eastAsia="仿宋_GB2312" w:cs="仿宋_GB2312"/>
          <w:sz w:val="32"/>
          <w:szCs w:val="32"/>
          <w:highlight w:val="none"/>
          <w:lang w:eastAsia="zh-CN"/>
        </w:rPr>
        <w:t>文字样本、</w:t>
      </w:r>
      <w:r>
        <w:rPr>
          <w:rFonts w:hint="eastAsia" w:ascii="仿宋_GB2312" w:hAnsi="仿宋_GB2312" w:eastAsia="仿宋_GB2312" w:cs="仿宋_GB2312"/>
          <w:sz w:val="32"/>
          <w:szCs w:val="32"/>
          <w:lang w:val="en-US" w:eastAsia="zh-CN" w:bidi="ar-SA"/>
        </w:rPr>
        <w:t>公开报表表样、绩效自评表表样</w:t>
      </w:r>
    </w:p>
    <w:p>
      <w:pPr>
        <w:spacing w:after="0" w:line="576" w:lineRule="exact"/>
        <w:ind w:left="1500" w:right="1604" w:hanging="1500" w:hangingChars="500"/>
        <w:outlineLvl w:val="0"/>
        <w:rPr>
          <w:rFonts w:hint="eastAsia" w:ascii="仿宋_GB2312" w:hAnsi="仿宋" w:eastAsia="仿宋_GB2312"/>
          <w:sz w:val="30"/>
          <w:szCs w:val="30"/>
          <w:lang w:eastAsia="zh-CN"/>
        </w:rPr>
      </w:pPr>
    </w:p>
    <w:p>
      <w:pPr>
        <w:spacing w:after="0" w:line="576" w:lineRule="exact"/>
        <w:ind w:left="1500" w:right="1604" w:hanging="1500" w:hangingChars="500"/>
        <w:outlineLvl w:val="0"/>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 xml:space="preserve"> </w:t>
      </w:r>
    </w:p>
    <w:p>
      <w:pPr>
        <w:spacing w:after="0" w:line="576" w:lineRule="exact"/>
        <w:ind w:right="4" w:firstLine="5120" w:firstLineChars="1600"/>
        <w:jc w:val="both"/>
        <w:outlineLvl w:val="0"/>
        <w:rPr>
          <w:rFonts w:hint="eastAsia" w:ascii="仿宋_GB2312" w:eastAsia="仿宋_GB2312"/>
          <w:sz w:val="32"/>
          <w:szCs w:val="32"/>
          <w:highlight w:val="none"/>
        </w:rPr>
      </w:pPr>
    </w:p>
    <w:p>
      <w:pPr>
        <w:spacing w:after="0" w:line="576" w:lineRule="exact"/>
        <w:ind w:right="4" w:firstLine="5120" w:firstLineChars="1600"/>
        <w:jc w:val="both"/>
        <w:outlineLvl w:val="0"/>
      </w:pPr>
      <w:r>
        <w:rPr>
          <w:rFonts w:hint="eastAsia" w:ascii="仿宋_GB2312" w:eastAsia="仿宋_GB2312"/>
          <w:sz w:val="32"/>
          <w:szCs w:val="32"/>
          <w:highlight w:val="none"/>
        </w:rPr>
        <w:t xml:space="preserve"> 20</w:t>
      </w:r>
      <w:r>
        <w:rPr>
          <w:rFonts w:hint="eastAsia" w:ascii="仿宋_GB2312" w:eastAsia="仿宋_GB2312"/>
          <w:sz w:val="32"/>
          <w:szCs w:val="32"/>
          <w:highlight w:val="none"/>
          <w:lang w:val="en-US" w:eastAsia="zh-CN"/>
        </w:rPr>
        <w:t>24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XX</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XX</w:t>
      </w:r>
      <w:r>
        <w:rPr>
          <w:rFonts w:hint="eastAsia" w:ascii="仿宋_GB2312" w:eastAsia="仿宋_GB2312"/>
          <w:sz w:val="32"/>
          <w:szCs w:val="32"/>
          <w:highlight w:val="none"/>
        </w:rPr>
        <w:t>日</w:t>
      </w:r>
    </w:p>
    <w:sectPr>
      <w:footerReference r:id="rId3" w:type="default"/>
      <w:pgSz w:w="11906" w:h="16838"/>
      <w:pgMar w:top="2098" w:right="1474" w:bottom="1985" w:left="1588" w:header="709" w:footer="709"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Luxi Sans">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8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imes New Roman" w:hAnsi="Times New Roman"/>
        <w:sz w:val="28"/>
        <w:szCs w:val="28"/>
      </w:rPr>
    </w:pPr>
    <w:r>
      <w:rPr>
        <w:sz w:val="28"/>
      </w:rPr>
      <w:pict>
        <v:shape id="_x0000_s3075" o:spid="_x0000_s3075"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sz w:val="28"/>
                    <w:lang w:eastAsia="zh-CN"/>
                  </w:rPr>
                </w:pPr>
                <w:r>
                  <w:rPr>
                    <w:rFonts w:hint="eastAsia" w:eastAsia="宋体"/>
                    <w:sz w:val="28"/>
                    <w:lang w:eastAsia="zh-CN"/>
                  </w:rPr>
                  <w:t xml:space="preserve">— </w:t>
                </w:r>
                <w:r>
                  <w:rPr>
                    <w:rFonts w:hint="eastAsia" w:eastAsia="宋体"/>
                    <w:sz w:val="28"/>
                    <w:lang w:eastAsia="zh-CN"/>
                  </w:rPr>
                  <w:fldChar w:fldCharType="begin"/>
                </w:r>
                <w:r>
                  <w:rPr>
                    <w:rFonts w:hint="eastAsia" w:eastAsia="宋体"/>
                    <w:sz w:val="28"/>
                    <w:lang w:eastAsia="zh-CN"/>
                  </w:rPr>
                  <w:instrText xml:space="preserve"> PAGE  \* MERGEFORMAT </w:instrText>
                </w:r>
                <w:r>
                  <w:rPr>
                    <w:rFonts w:hint="eastAsia" w:eastAsia="宋体"/>
                    <w:sz w:val="28"/>
                    <w:lang w:eastAsia="zh-CN"/>
                  </w:rPr>
                  <w:fldChar w:fldCharType="separate"/>
                </w:r>
                <w:r>
                  <w:rPr>
                    <w:rFonts w:hint="eastAsia" w:eastAsia="宋体"/>
                    <w:sz w:val="28"/>
                    <w:lang w:eastAsia="zh-CN"/>
                  </w:rPr>
                  <w:t>1</w:t>
                </w:r>
                <w:r>
                  <w:rPr>
                    <w:rFonts w:hint="eastAsia" w:eastAsia="宋体"/>
                    <w:sz w:val="28"/>
                    <w:lang w:eastAsia="zh-CN"/>
                  </w:rPr>
                  <w:fldChar w:fldCharType="end"/>
                </w:r>
                <w:r>
                  <w:rPr>
                    <w:rFonts w:hint="eastAsia" w:eastAsia="宋体"/>
                    <w:sz w:val="28"/>
                    <w:lang w:eastAsia="zh-CN"/>
                  </w:rPr>
                  <w:t xml:space="preserve"> —</w:t>
                </w:r>
              </w:p>
            </w:txbxContent>
          </v:textbox>
        </v:shape>
      </w:pic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60"/>
  <w:displayHorizontalDrawingGridEvery w:val="1"/>
  <w:displayVerticalDrawingGridEvery w:val="1"/>
  <w:characterSpacingControl w:val="doNotCompress"/>
  <w:hdrShapeDefaults>
    <o:shapelayout v:ext="edit">
      <o:idmap v:ext="edit" data="3"/>
    </o:shapelayout>
  </w:hdrShapeDefault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59.215.189.142:80/seeyon/officeservlet"/>
  </w:docVars>
  <w:rsids>
    <w:rsidRoot w:val="00D31D50"/>
    <w:rsid w:val="00011598"/>
    <w:rsid w:val="00082824"/>
    <w:rsid w:val="00255874"/>
    <w:rsid w:val="00323B43"/>
    <w:rsid w:val="003757EF"/>
    <w:rsid w:val="003D37D8"/>
    <w:rsid w:val="00426133"/>
    <w:rsid w:val="004358AB"/>
    <w:rsid w:val="004A196F"/>
    <w:rsid w:val="00680A94"/>
    <w:rsid w:val="00727267"/>
    <w:rsid w:val="0082272E"/>
    <w:rsid w:val="008B4F01"/>
    <w:rsid w:val="008B7726"/>
    <w:rsid w:val="00970F5F"/>
    <w:rsid w:val="00C366D8"/>
    <w:rsid w:val="00C602BD"/>
    <w:rsid w:val="00D31D50"/>
    <w:rsid w:val="00D43202"/>
    <w:rsid w:val="03FB2884"/>
    <w:rsid w:val="05904D6A"/>
    <w:rsid w:val="08F6311E"/>
    <w:rsid w:val="09FE5424"/>
    <w:rsid w:val="0CC43297"/>
    <w:rsid w:val="1B4E09D3"/>
    <w:rsid w:val="1C861879"/>
    <w:rsid w:val="1FA5529D"/>
    <w:rsid w:val="256906FE"/>
    <w:rsid w:val="273F7F70"/>
    <w:rsid w:val="36F16A88"/>
    <w:rsid w:val="37DD074C"/>
    <w:rsid w:val="3C2B3E1A"/>
    <w:rsid w:val="3D1106EC"/>
    <w:rsid w:val="3DA93A25"/>
    <w:rsid w:val="42D3255F"/>
    <w:rsid w:val="43395CAE"/>
    <w:rsid w:val="46A96961"/>
    <w:rsid w:val="47897FB7"/>
    <w:rsid w:val="48393254"/>
    <w:rsid w:val="4D8C67B0"/>
    <w:rsid w:val="4F5B2EDE"/>
    <w:rsid w:val="528C5B2E"/>
    <w:rsid w:val="53EA5177"/>
    <w:rsid w:val="5FE82AF2"/>
    <w:rsid w:val="63792816"/>
    <w:rsid w:val="6F247CB8"/>
    <w:rsid w:val="79D24E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rFonts w:eastAsia="微软雅黑" w:cs="Times New Roman"/>
      <w:b/>
      <w:bCs/>
      <w:kern w:val="44"/>
      <w:sz w:val="44"/>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cs="Times New Roman"/>
      <w:b/>
      <w:sz w:val="32"/>
    </w:rPr>
  </w:style>
  <w:style w:type="paragraph" w:styleId="5">
    <w:name w:val="heading 3"/>
    <w:basedOn w:val="1"/>
    <w:next w:val="1"/>
    <w:qFormat/>
    <w:uiPriority w:val="0"/>
    <w:pPr>
      <w:keepNext/>
      <w:keepLines/>
      <w:spacing w:before="260" w:after="260" w:line="415" w:lineRule="auto"/>
      <w:outlineLvl w:val="2"/>
    </w:pPr>
    <w:rPr>
      <w:rFonts w:eastAsia="微软雅黑" w:cs="Times New Roman"/>
      <w:b/>
      <w:sz w:val="32"/>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1"/>
    <w:link w:val="13"/>
    <w:qFormat/>
    <w:uiPriority w:val="0"/>
    <w:pPr>
      <w:tabs>
        <w:tab w:val="center" w:pos="4153"/>
        <w:tab w:val="right" w:pos="8306"/>
      </w:tabs>
    </w:pPr>
    <w:rPr>
      <w:sz w:val="18"/>
      <w:szCs w:val="18"/>
    </w:rPr>
  </w:style>
  <w:style w:type="paragraph" w:styleId="6">
    <w:name w:val="Balloon Text"/>
    <w:basedOn w:val="1"/>
    <w:link w:val="12"/>
    <w:qFormat/>
    <w:uiPriority w:val="0"/>
    <w:pPr>
      <w:spacing w:after="0"/>
    </w:pPr>
    <w:rPr>
      <w:sz w:val="18"/>
      <w:szCs w:val="18"/>
    </w:rPr>
  </w:style>
  <w:style w:type="paragraph" w:styleId="7">
    <w:name w:val="header"/>
    <w:basedOn w:val="1"/>
    <w:link w:val="14"/>
    <w:qFormat/>
    <w:uiPriority w:val="0"/>
    <w:pPr>
      <w:pBdr>
        <w:bottom w:val="single" w:color="auto" w:sz="6" w:space="1"/>
      </w:pBdr>
      <w:tabs>
        <w:tab w:val="center" w:pos="4153"/>
        <w:tab w:val="right" w:pos="8306"/>
      </w:tabs>
      <w:jc w:val="center"/>
    </w:pPr>
    <w:rPr>
      <w:sz w:val="18"/>
      <w:szCs w:val="18"/>
    </w:rPr>
  </w:style>
  <w:style w:type="paragraph" w:styleId="8">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11">
    <w:name w:val="page number"/>
    <w:basedOn w:val="10"/>
    <w:qFormat/>
    <w:uiPriority w:val="0"/>
    <w:rPr>
      <w:rFonts w:ascii="Times New Roman" w:hAnsi="Times New Roman" w:eastAsia="宋体" w:cs="Times New Roman"/>
    </w:rPr>
  </w:style>
  <w:style w:type="character" w:customStyle="1" w:styleId="12">
    <w:name w:val="批注框文本 Char"/>
    <w:basedOn w:val="10"/>
    <w:link w:val="6"/>
    <w:semiHidden/>
    <w:qFormat/>
    <w:uiPriority w:val="99"/>
    <w:rPr>
      <w:rFonts w:ascii="Tahoma" w:hAnsi="Tahoma"/>
      <w:sz w:val="18"/>
      <w:szCs w:val="18"/>
    </w:rPr>
  </w:style>
  <w:style w:type="character" w:customStyle="1" w:styleId="13">
    <w:name w:val="页脚 Char"/>
    <w:basedOn w:val="10"/>
    <w:link w:val="2"/>
    <w:qFormat/>
    <w:uiPriority w:val="99"/>
    <w:rPr>
      <w:rFonts w:ascii="Tahoma" w:hAnsi="Tahoma"/>
      <w:sz w:val="18"/>
      <w:szCs w:val="18"/>
    </w:rPr>
  </w:style>
  <w:style w:type="character" w:customStyle="1" w:styleId="14">
    <w:name w:val="页眉 Char"/>
    <w:basedOn w:val="10"/>
    <w:link w:val="7"/>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5"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WRGHO.COM</Company>
  <Pages>2</Pages>
  <Words>767</Words>
  <Characters>814</Characters>
  <Lines>45</Lines>
  <Paragraphs>16</Paragraphs>
  <TotalTime>3</TotalTime>
  <ScaleCrop>false</ScaleCrop>
  <LinksUpToDate>false</LinksUpToDate>
  <CharactersWithSpaces>1005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2016-04-17T11:31:00Z</dcterms:created>
  <dc:creator>Administrator</dc:creator>
  <dc:description>Shankar's Birthday falls on 25th July.  Don't Forget to wish him</dc:description>
  <cp:keywords>Birthday</cp:keywords>
  <cp:lastModifiedBy>Administrator</cp:lastModifiedBy>
  <cp:lastPrinted>2017-11-07T07:06:00Z</cp:lastPrinted>
  <dcterms:modified xsi:type="dcterms:W3CDTF">2024-07-17T12:41:52Z</dcterms:modified>
  <dc:subject>Birthday </dc:subject>
  <dc:title>附件n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